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8.4 Inzameling en verwerking van incontinentiemateriaal</w:t>
      </w:r>
      <w:bookmarkEnd w:id="0"/>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1" w:name="_Toc1"/>
      <w:r>
        <w:t>Thema's</w:t>
      </w:r>
      <w:bookmarkEnd w:id="1"/>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65.04.95.08 - Absorberend incontinentiemateriaal</w:t>
      </w:r>
    </w:p>
    <w:p>
      <w:pPr>
        <w:pStyle w:val="Heading2"/>
      </w:pPr>
      <w:bookmarkStart w:id="2" w:name="_Toc2"/>
      <w:r>
        <w:t>Tekst</w:t>
      </w:r>
      <w:bookmarkEnd w:id="2"/>
    </w:p>
    <w:p>
      <w:pPr/>
      <w:r>
        <w:rPr/>
        <w:t xml:space="preserve">Inschrijver faciliteert een gescheiden inzameling en verwerking van incontinentiemateriaal. Inschrijver verzorgt: inzamelmiddelen, afvalinstructies en een afvalregistratie.</w:t>
      </w:r>
    </w:p>
    <w:p>
      <w:pPr>
        <w:pStyle w:val="Heading2"/>
      </w:pPr>
      <w:bookmarkStart w:id="3" w:name="_Toc3"/>
      <w:r>
        <w:t>Mogelijke bewijsmiddelen</w:t>
      </w:r>
      <w:bookmarkEnd w:id="3"/>
    </w:p>
    <w:p>
      <w:pPr/>
      <w:r>
        <w:rPr/>
        <w:t xml:space="preserve">-</w:t>
      </w:r>
    </w:p>
    <w:p>
      <w:pPr>
        <w:pStyle w:val="Heading2"/>
      </w:pPr>
      <w:bookmarkStart w:id="4" w:name="_Toc4"/>
      <w:r>
        <w:t>Wijze van beoordelen</w:t>
      </w:r>
      <w:bookmarkEnd w:id="4"/>
    </w:p>
    <w:p>
      <w:pPr/>
      <w:r>
        <w:rPr/>
        <w:t xml:space="preserve">-</w:t>
      </w:r>
    </w:p>
    <w:p>
      <w:pPr>
        <w:pStyle w:val="Heading2"/>
      </w:pPr>
      <w:bookmarkStart w:id="5" w:name="_Toc5"/>
      <w:r>
        <w:t>Bijbehorende contractbepaling</w:t>
      </w:r>
      <w:bookmarkEnd w:id="5"/>
    </w:p>
    <w:p>
      <w:pPr/>
      <w:r>
        <w:rPr/>
        <w:t xml:space="preserve">-</w:t>
      </w:r>
    </w:p>
    <w:p>
      <w:pPr>
        <w:pStyle w:val="Heading2"/>
      </w:pPr>
      <w:bookmarkStart w:id="6" w:name="_Toc6"/>
      <w:r>
        <w:t>Toelichting voor inkopende organisatie</w:t>
      </w:r>
      <w:bookmarkEnd w:id="6"/>
    </w:p>
    <w:p>
      <w:pPr/>
      <w:r>
        <w:rPr/>
        <w:t xml:space="preserve">Aanvullende informatie is terug te vinden op de Groene Z: zie link</w:t>
      </w:r>
    </w:p>
    <w:p>
      <w:pPr>
        <w:pStyle w:val="Heading2"/>
      </w:pPr>
      <w:bookmarkStart w:id="7" w:name="_Toc7"/>
      <w:r>
        <w:t>External links</w:t>
      </w:r>
      <w:bookmarkEnd w:id="7"/>
    </w:p>
    <w:p>
      <w:hyperlink r:id="rId9" w:history="1">
        <w:r>
          <w:t xml:space="preserve">https://www.degroenez.org/productgroepen/incontinentiebroek/wegwerp#section-sustainable-use</w:t>
        </w:r>
      </w:hyperlink>
    </w:p>
    <w:p>
      <w:pPr>
        <w:pStyle w:val="Heading2"/>
      </w:pPr>
      <w:bookmarkStart w:id="8" w:name="_Toc8"/>
      <w:r>
        <w:t>Bron</w:t>
      </w:r>
      <w:bookmarkEnd w:id="8"/>
    </w:p>
    <w:p>
      <w:pPr>
        <w:numPr>
          <w:ilvl w:val="0"/>
          <w:numId w:val="3"/>
        </w:numPr>
      </w:pPr>
      <w:r>
        <w:rPr/>
        <w:t xml:space="preserve">Milieu Platform Zorg</w:t>
      </w:r>
    </w:p>
    <w:p/>
    <w:p>
      <w:pPr>
        <w:pStyle w:val="Heading1"/>
      </w:pPr>
      <w:bookmarkStart w:id="9" w:name="_Toc9"/>
      <w:r>
        <w:t>8.5 Verwerking AEEA (Afgedankte Elektrische en Elektronische Apparatuur)</w:t>
      </w:r>
      <w:bookmarkEnd w:id="9"/>
    </w:p>
    <w:p>
      <w:pPr/>
      <w:r>
        <w:rPr>
          <w:b w:val="1"/>
          <w:bCs w:val="1"/>
        </w:rPr>
        <w:t xml:space="preserve">Productgroep: </w:t>
      </w:r>
      <w:r>
        <w:rPr/>
        <w:t xml:space="preserve">Afvalinzameling</w:t>
      </w:r>
    </w:p>
    <w:p>
      <w:pPr/>
      <w:r>
        <w:rPr>
          <w:b w:val="1"/>
          <w:bCs w:val="1"/>
        </w:rPr>
        <w:t xml:space="preserve">Voorwaarden: </w:t>
      </w:r>
      <w:r>
        <w:rPr/>
        <w:t xml:space="preserve">Eisen</w:t>
      </w:r>
    </w:p>
    <w:p>
      <w:pPr>
        <w:pStyle w:val="Heading2"/>
      </w:pPr>
      <w:bookmarkStart w:id="10" w:name="_Toc10"/>
      <w:r>
        <w:t>Thema's</w:t>
      </w:r>
      <w:bookmarkEnd w:id="10"/>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11" w:name="_Toc11"/>
      <w:r>
        <w:t>Tekst</w:t>
      </w:r>
      <w:bookmarkEnd w:id="11"/>
    </w:p>
    <w:p>
      <w:pPr/>
      <w:r>
        <w:rPr/>
        <w:t xml:space="preserve">De afvalverwerking van AEEA (Afgedankte Elektrische en Elektronische Apparatuur) die vrijkomt bij productie, reparatie en refurbishing, voldoet aan de geldende normen. Deze normen zijn ook van toepassing op apparatuur die wordt teruggestuurd en op de faciliteiten waar AEEA wordt verwerkt:
- NEN-EN 50625) of het Amerikaanse equivalent)
- NEN-EN 50614 (of het Amerikaanse equivalent)
- De Responsible Recycling (R2)-standaard
- De e-Stewards-standaard</w:t>
      </w:r>
    </w:p>
    <w:p>
      <w:pPr>
        <w:pStyle w:val="Heading2"/>
      </w:pPr>
      <w:bookmarkStart w:id="12" w:name="_Toc12"/>
      <w:r>
        <w:t>Mogelijke bewijsmiddelen</w:t>
      </w:r>
      <w:bookmarkEnd w:id="12"/>
    </w:p>
    <w:p>
      <w:pPr/>
      <w:r>
        <w:rPr/>
        <w:t xml:space="preserve">NEN-EN 50625 Inzameling, logistiek &amp;amp; verwerkingseisen voor WEEE (AEEA)  (of het Amerikaanse equivalent)
NEN-EN 50614 Requirements for the preparing for re-use of waste electrical and electronic equipment
(of het Amerikaanse equivalent)
De Responsible Recycling (R2)-standaard voor elektronica-recyclers.
De e-Stewards-standaard voor verantwoord recyclen en hergebruik van elektronische apparatuur.</w:t>
      </w:r>
    </w:p>
    <w:p>
      <w:pPr>
        <w:pStyle w:val="Heading2"/>
      </w:pPr>
      <w:bookmarkStart w:id="13" w:name="_Toc13"/>
      <w:r>
        <w:t>Wijze van beoordelen</w:t>
      </w:r>
      <w:bookmarkEnd w:id="13"/>
    </w:p>
    <w:p>
      <w:pPr/>
      <w:r>
        <w:rPr/>
        <w:t xml:space="preserve">-</w:t>
      </w:r>
    </w:p>
    <w:p>
      <w:pPr>
        <w:pStyle w:val="Heading2"/>
      </w:pPr>
      <w:bookmarkStart w:id="14" w:name="_Toc14"/>
      <w:r>
        <w:t>Bijbehorende contractbepaling</w:t>
      </w:r>
      <w:bookmarkEnd w:id="14"/>
    </w:p>
    <w:p>
      <w:pPr/>
      <w:r>
        <w:rPr/>
        <w:t xml:space="preserve">-</w:t>
      </w:r>
    </w:p>
    <w:p>
      <w:pPr>
        <w:pStyle w:val="Heading2"/>
      </w:pPr>
      <w:bookmarkStart w:id="15" w:name="_Toc15"/>
      <w:r>
        <w:t>Toelichting voor inkopende organisatie</w:t>
      </w:r>
      <w:bookmarkEnd w:id="15"/>
    </w:p>
    <w:p>
      <w:pPr/>
      <w:r>
        <w:rPr/>
        <w:t xml:space="preserve">Onder Afgedankte Elektrische en Elektronische Apparatuur (AEEA) vallen bijna alle elektrische apparaten die op stroom of batterij werken. Meer informatie: zie link Afvalcirculair</w:t>
      </w:r>
    </w:p>
    <w:p>
      <w:pPr>
        <w:pStyle w:val="Heading2"/>
      </w:pPr>
      <w:bookmarkStart w:id="16" w:name="_Toc16"/>
      <w:r>
        <w:t>External links</w:t>
      </w:r>
      <w:bookmarkEnd w:id="16"/>
    </w:p>
    <w:p>
      <w:hyperlink r:id="rId10" w:history="1">
        <w:r>
          <w:t xml:space="preserve">https://www.nen.nl/en/nen-en-50625-1-2014-en-193413</w:t>
        </w:r>
      </w:hyperlink>
    </w:p>
    <w:p>
      <w:hyperlink r:id="rId11" w:history="1">
        <w:r>
          <w:t xml:space="preserve">https://www.nen.nl/nen-en-50614-2020-en-268044</w:t>
        </w:r>
      </w:hyperlink>
    </w:p>
    <w:p>
      <w:hyperlink r:id="rId12" w:history="1">
        <w:r>
          <w:t xml:space="preserve">https://afvalcirculair.nl/uitgebreide-producentenverantwoordelijkheid-upv/overzicht-upv/upv-elektr-on-ische-apparaten/virtuele-map/handreiking-0/</w:t>
        </w:r>
      </w:hyperlink>
    </w:p>
    <w:p>
      <w:pPr>
        <w:pStyle w:val="Heading2"/>
      </w:pPr>
      <w:bookmarkStart w:id="17" w:name="_Toc17"/>
      <w:r>
        <w:t>Bron</w:t>
      </w:r>
      <w:bookmarkEnd w:id="17"/>
    </w:p>
    <w:p>
      <w:pPr>
        <w:numPr>
          <w:ilvl w:val="0"/>
          <w:numId w:val="3"/>
        </w:numPr>
      </w:pPr>
      <w:r>
        <w:rPr/>
        <w:t xml:space="preserve">MEPA+</w:t>
      </w:r>
    </w:p>
    <w:p/>
    <w:p>
      <w:pPr>
        <w:pStyle w:val="Heading1"/>
      </w:pPr>
      <w:bookmarkStart w:id="18" w:name="_Toc18"/>
      <w:r>
        <w:t>8.6 Afval &amp; verpakking</w:t>
      </w:r>
      <w:bookmarkEnd w:id="18"/>
    </w:p>
    <w:p>
      <w:pPr/>
      <w:r>
        <w:rPr>
          <w:b w:val="1"/>
          <w:bCs w:val="1"/>
        </w:rPr>
        <w:t xml:space="preserve">Productgroep: </w:t>
      </w:r>
      <w:r>
        <w:rPr/>
        <w:t xml:space="preserve">Afvalinzameling</w:t>
      </w:r>
    </w:p>
    <w:p>
      <w:pPr/>
      <w:r>
        <w:rPr>
          <w:b w:val="1"/>
          <w:bCs w:val="1"/>
        </w:rPr>
        <w:t xml:space="preserve">Voorwaarden: </w:t>
      </w:r>
      <w:r>
        <w:rPr/>
        <w:t xml:space="preserve">Gunningscriteria</w:t>
      </w:r>
    </w:p>
    <w:p>
      <w:pPr>
        <w:pStyle w:val="Heading2"/>
      </w:pPr>
      <w:bookmarkStart w:id="19" w:name="_Toc19"/>
      <w:r>
        <w:t>Thema's</w:t>
      </w:r>
      <w:bookmarkEnd w:id="19"/>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0" w:name="_Toc20"/>
      <w:r>
        <w:t>Tekst</w:t>
      </w:r>
      <w:bookmarkEnd w:id="20"/>
    </w:p>
    <w:p>
      <w:pPr/>
      <w:r>
        <w:rPr/>
        <w:t xml:space="preserve">Het product voldoet minimaal aan twee van de volgende criteria:
- Product genereert geen gevaarlijk afval
- Product wordt niet als gevaarlijk afval geclassificeerd (bij normaal gebruik en bij het weggooien)
- Product bestaat voor minimaal 10% uit chemisch gerecycled materiaal of uit closed-loop gerecycled materiaal
- Product is recyclebaar
-Primaire verpakking van product bevat meer dan 10% post-consumer gerecycled materiaal.
- Secundaire verpakking van het product bevat meer dan 30% post-consumer gerecycled materiaal. Dit geldt niet voor vezelmateriaal, zoals hout
- Verpakking is volledig recyclebaar</w:t>
      </w:r>
    </w:p>
    <w:p>
      <w:pPr>
        <w:pStyle w:val="Heading2"/>
      </w:pPr>
      <w:bookmarkStart w:id="21" w:name="_Toc21"/>
      <w:r>
        <w:t>Mogelijke bewijsmiddelen</w:t>
      </w:r>
      <w:bookmarkEnd w:id="21"/>
    </w:p>
    <w:p>
      <w:pPr/>
      <w:r>
        <w:rPr/>
        <w:t xml:space="preserve">-</w:t>
      </w:r>
    </w:p>
    <w:p>
      <w:pPr>
        <w:pStyle w:val="Heading2"/>
      </w:pPr>
      <w:bookmarkStart w:id="22" w:name="_Toc22"/>
      <w:r>
        <w:t>Wijze van beoordelen</w:t>
      </w:r>
      <w:bookmarkEnd w:id="22"/>
    </w:p>
    <w:p>
      <w:pPr/>
      <w:r>
        <w:rPr/>
        <w:t xml:space="preserve">-</w:t>
      </w:r>
    </w:p>
    <w:p>
      <w:pPr>
        <w:pStyle w:val="Heading2"/>
      </w:pPr>
      <w:bookmarkStart w:id="23" w:name="_Toc23"/>
      <w:r>
        <w:t>Bijbehorende contractbepaling</w:t>
      </w:r>
      <w:bookmarkEnd w:id="23"/>
    </w:p>
    <w:p>
      <w:pPr/>
      <w:r>
        <w:rPr/>
        <w:t xml:space="preserve">-</w:t>
      </w:r>
    </w:p>
    <w:p>
      <w:pPr>
        <w:pStyle w:val="Heading2"/>
      </w:pPr>
      <w:bookmarkStart w:id="24" w:name="_Toc24"/>
      <w:r>
        <w:t>Toelichting voor inkopende organisatie</w:t>
      </w:r>
      <w:bookmarkEnd w:id="24"/>
    </w:p>
    <w:p>
      <w:pPr/>
      <w:r>
        <w:rPr/>
        <w:t xml:space="preserve">Verkoop- of primaire verpakking: verpakking staat direct in contact met product. Samen met de inhoud vormt dit één verkoopeenheid.
Verzamel- of secundaire verpakkingen: verpakkingen waarin meerdere verkoopeenheden zijn samengevoegd.
Post-consumer materiaal: materialen die door eindgebruikers zijn weggegooid en opnieuw worden gebruikt.
Closed-loop recycling: materialen worden na gebruik opnieuw verwerkt tot hetzelfde type product. Hierdoor blijven de materialen binnen dezelfde keten en wordt waardeverlies zoveel mogelijk beperkt.</w:t>
      </w:r>
    </w:p>
    <w:p>
      <w:pPr>
        <w:pStyle w:val="Heading2"/>
      </w:pPr>
      <w:bookmarkStart w:id="25" w:name="_Toc25"/>
      <w:r>
        <w:t>External links</w:t>
      </w:r>
      <w:bookmarkEnd w:id="25"/>
    </w:p>
    <w:p>
      <w:pPr>
        <w:pStyle w:val="Heading2"/>
      </w:pPr>
      <w:bookmarkStart w:id="26" w:name="_Toc26"/>
      <w:r>
        <w:t>Bron</w:t>
      </w:r>
      <w:bookmarkEnd w:id="26"/>
    </w:p>
    <w:p>
      <w:pPr>
        <w:numPr>
          <w:ilvl w:val="0"/>
          <w:numId w:val="3"/>
        </w:numPr>
      </w:pPr>
      <w:r>
        <w:rPr/>
        <w:t xml:space="preserve">MEPA+</w:t>
      </w:r>
    </w:p>
    <w:p/>
    <w:p>
      <w:pPr>
        <w:pStyle w:val="Heading1"/>
      </w:pPr>
      <w:bookmarkStart w:id="27" w:name="_Toc27"/>
      <w:r>
        <w:t>9.1 Garantievoorwaarden</w:t>
      </w:r>
      <w:bookmarkEnd w:id="27"/>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28" w:name="_Toc28"/>
      <w:r>
        <w:t>Thema's</w:t>
      </w:r>
      <w:bookmarkEnd w:id="28"/>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29" w:name="_Toc29"/>
      <w:r>
        <w:t>Tekst</w:t>
      </w:r>
      <w:bookmarkEnd w:id="29"/>
    </w:p>
    <w:p>
      <w:pPr/>
      <w:r>
        <w:rPr/>
        <w:t xml:space="preserve">Producten hebben een garantietermijn van minimaal [termijn] jaar. Deze garantie is inbegrepen in de productprijs. De geleverde producten voldoen aan de specificaties van het contract (d.w.z geen gebreken). Eventuele reparaties worden gratis (inclusief vervoers- en verzendkosten) en binnen 5 dagen na melding defect uitgevoerd.</w:t>
      </w:r>
    </w:p>
    <w:p>
      <w:pPr>
        <w:pStyle w:val="Heading2"/>
      </w:pPr>
      <w:bookmarkStart w:id="30" w:name="_Toc30"/>
      <w:r>
        <w:t>Mogelijke bewijsmiddelen</w:t>
      </w:r>
      <w:bookmarkEnd w:id="30"/>
    </w:p>
    <w:p>
      <w:pPr/>
      <w:r>
        <w:rPr/>
        <w:t xml:space="preserve">Nader te bepalen, afhankelijk van keuzes (zie toelichting voor inkopende organisatie)</w:t>
      </w:r>
    </w:p>
    <w:p>
      <w:pPr>
        <w:pStyle w:val="Heading2"/>
      </w:pPr>
      <w:bookmarkStart w:id="31" w:name="_Toc31"/>
      <w:r>
        <w:t>Wijze van beoordelen</w:t>
      </w:r>
      <w:bookmarkEnd w:id="31"/>
    </w:p>
    <w:p>
      <w:pPr/>
      <w:r>
        <w:rPr/>
        <w:t xml:space="preserve">-</w:t>
      </w:r>
    </w:p>
    <w:p>
      <w:pPr>
        <w:pStyle w:val="Heading2"/>
      </w:pPr>
      <w:bookmarkStart w:id="32" w:name="_Toc32"/>
      <w:r>
        <w:t>Bijbehorende contractbepaling</w:t>
      </w:r>
      <w:bookmarkEnd w:id="32"/>
    </w:p>
    <w:p>
      <w:pPr/>
      <w:r>
        <w:rPr/>
        <w:t xml:space="preserve">-</w:t>
      </w:r>
    </w:p>
    <w:p>
      <w:pPr>
        <w:pStyle w:val="Heading2"/>
      </w:pPr>
      <w:bookmarkStart w:id="33" w:name="_Toc33"/>
      <w:r>
        <w:t>Toelichting voor inkopende organisatie</w:t>
      </w:r>
      <w:bookmarkEnd w:id="33"/>
    </w:p>
    <w:p>
      <w:pPr/>
      <w:r>
        <w:rPr/>
        <w:t xml:space="preserve">Inkopende organisatie overlegt met leverancier een garantietermijn.</w:t>
      </w:r>
    </w:p>
    <w:p>
      <w:pPr>
        <w:pStyle w:val="Heading2"/>
      </w:pPr>
      <w:bookmarkStart w:id="34" w:name="_Toc34"/>
      <w:r>
        <w:t>External links</w:t>
      </w:r>
      <w:bookmarkEnd w:id="34"/>
    </w:p>
    <w:p>
      <w:pPr>
        <w:pStyle w:val="Heading2"/>
      </w:pPr>
      <w:bookmarkStart w:id="35" w:name="_Toc35"/>
      <w:r>
        <w:t>Bron</w:t>
      </w:r>
      <w:bookmarkEnd w:id="35"/>
    </w:p>
    <w:p>
      <w:pPr>
        <w:numPr>
          <w:ilvl w:val="0"/>
          <w:numId w:val="3"/>
        </w:numPr>
      </w:pPr>
      <w:r>
        <w:rPr/>
        <w:t xml:space="preserve">MVI criteria tool</w:t>
      </w:r>
    </w:p>
    <w:p/>
    <w:p>
      <w:pPr>
        <w:pStyle w:val="Heading1"/>
      </w:pPr>
      <w:bookmarkStart w:id="36" w:name="_Toc36"/>
      <w:r>
        <w:t>9.2 Inname, recycling, hoogwaardige toepassing producten</w:t>
      </w:r>
      <w:bookmarkEnd w:id="36"/>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37" w:name="_Toc37"/>
      <w:r>
        <w:t>Thema's</w:t>
      </w:r>
      <w:bookmarkEnd w:id="37"/>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38" w:name="_Toc38"/>
      <w:r>
        <w:t>Tekst</w:t>
      </w:r>
      <w:bookmarkEnd w:id="38"/>
    </w:p>
    <w:p>
      <w:pPr/>
      <w:r>
        <w:rPr/>
        <w:t xml:space="preserve">Inschrijver geeft aan wat er met de producten gebeurt wanneer deze aan het einde van hun levensduur retour worden genomen:
- Welke producten worden teruggenomen?
- Hoeveel materiaal (%) wordt hergebruikt en/of gerecycled?
- Welke toepassing krijgen de gerecyclede en hergebruikte materialen?</w:t>
      </w:r>
    </w:p>
    <w:p>
      <w:pPr>
        <w:pStyle w:val="Heading2"/>
      </w:pPr>
      <w:bookmarkStart w:id="39" w:name="_Toc39"/>
      <w:r>
        <w:t>Mogelijke bewijsmiddelen</w:t>
      </w:r>
      <w:bookmarkEnd w:id="39"/>
    </w:p>
    <w:p>
      <w:pPr/>
      <w:r>
        <w:rPr/>
        <w:t xml:space="preserve">-</w:t>
      </w:r>
    </w:p>
    <w:p>
      <w:pPr>
        <w:pStyle w:val="Heading2"/>
      </w:pPr>
      <w:bookmarkStart w:id="40" w:name="_Toc40"/>
      <w:r>
        <w:t>Wijze van beoordelen</w:t>
      </w:r>
      <w:bookmarkEnd w:id="40"/>
    </w:p>
    <w:p>
      <w:pPr/>
      <w:r>
        <w:rPr/>
        <w:t xml:space="preserve">Bij een hoogwaardige toepassing van ingenomen producten, wordt dit deel van de inschrijving hoger gewaardeerd.
R-ladder beoordeelt of de toepassing van ingenomen product hoogwaardig of laagwaardig is. Stappen van de R-ladder zijn: 0 Refuse, 1 Rethink, 2 Reduce, 3 Reuse, 4 Repair, 5 Refurbish en Remanufacture, 6 Repurpose, 7 Recycle, 8 Recover.
Stap 0 is de hoogste trede van de ladder, stap 8 de laagste. Hoe hoger de trede, hoe hoogwaardiger de toepassing.</w:t>
      </w:r>
    </w:p>
    <w:p>
      <w:pPr>
        <w:pStyle w:val="Heading2"/>
      </w:pPr>
      <w:bookmarkStart w:id="41" w:name="_Toc41"/>
      <w:r>
        <w:t>Bijbehorende contractbepaling</w:t>
      </w:r>
      <w:bookmarkEnd w:id="41"/>
    </w:p>
    <w:p>
      <w:pPr/>
      <w:r>
        <w:rPr/>
        <w:t xml:space="preserve">-</w:t>
      </w:r>
    </w:p>
    <w:p>
      <w:pPr>
        <w:pStyle w:val="Heading2"/>
      </w:pPr>
      <w:bookmarkStart w:id="42" w:name="_Toc42"/>
      <w:r>
        <w:t>Toelichting voor inkopende organisatie</w:t>
      </w:r>
      <w:bookmarkEnd w:id="42"/>
    </w:p>
    <w:p>
      <w:pPr/>
      <w:r>
        <w:rPr/>
        <w:t xml:space="preserve">Inkoper, let op: neem dit criterium alleen op wanneer het innemen van producten aan het einde van de levensduur onderdeel uitmaakt van de aanvraag.&amp;nbsp;</w:t>
      </w:r>
    </w:p>
    <w:p>
      <w:pPr>
        <w:pStyle w:val="Heading2"/>
      </w:pPr>
      <w:bookmarkStart w:id="43" w:name="_Toc43"/>
      <w:r>
        <w:t>External links</w:t>
      </w:r>
      <w:bookmarkEnd w:id="43"/>
    </w:p>
    <w:p>
      <w:pPr>
        <w:pStyle w:val="Heading2"/>
      </w:pPr>
      <w:bookmarkStart w:id="44" w:name="_Toc44"/>
      <w:r>
        <w:t>Bron</w:t>
      </w:r>
      <w:bookmarkEnd w:id="44"/>
    </w:p>
    <w:p>
      <w:pPr>
        <w:numPr>
          <w:ilvl w:val="0"/>
          <w:numId w:val="3"/>
        </w:numPr>
      </w:pPr>
      <w:r>
        <w:rPr/>
        <w:t xml:space="preserve">MVI criteria tool</w:t>
      </w:r>
    </w:p>
    <w:p/>
    <w:p>
      <w:pPr>
        <w:pStyle w:val="Heading1"/>
      </w:pPr>
      <w:bookmarkStart w:id="45" w:name="_Toc45"/>
      <w:r>
        <w:t>9.3 Hergebruikte producten worden hoger gewaardeerd</w:t>
      </w:r>
      <w:bookmarkEnd w:id="45"/>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46" w:name="_Toc46"/>
      <w:r>
        <w:t>Thema's</w:t>
      </w:r>
      <w:bookmarkEnd w:id="46"/>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47" w:name="_Toc47"/>
      <w:r>
        <w:t>Tekst</w:t>
      </w:r>
      <w:bookmarkEnd w:id="47"/>
    </w:p>
    <w:p>
      <w:pPr/>
      <w:r>
        <w:rPr/>
        <w:t xml:space="preserve">De levering van hergebruikte producten of producten met hergebruikte onderdelen leidt tot een hogere waardering. Inschrijver geeft aan:
- Welke producten en onderdelen hergebruikt zijn
- Het aandeel hergebruikte materialen in het product (op gewichtsbasis)
- De oorsprong van de hergebruikte producten en onderdelen en welke functies deze eerder vervulden
- De garantietermijn van hergebruikte onderdelen en producten
- Op welke aannames Inschrijver de aanbieding baseert en of hij risico’s voorziet bij de hergebruikte producten en onderdelen.
Hergebruikte producten en producten met hergebruikte onderdelen moeten, net als niet-hergebruikte producten, voldoen aan de technische, functionele en MVI-eisen uit het Programma van Eisen (PvE).</w:t>
      </w:r>
    </w:p>
    <w:p>
      <w:pPr>
        <w:pStyle w:val="Heading2"/>
      </w:pPr>
      <w:bookmarkStart w:id="48" w:name="_Toc48"/>
      <w:r>
        <w:t>Mogelijke bewijsmiddelen</w:t>
      </w:r>
      <w:bookmarkEnd w:id="48"/>
    </w:p>
    <w:p>
      <w:pPr/>
      <w:r>
        <w:rPr/>
        <w:t xml:space="preserve">-</w:t>
      </w:r>
    </w:p>
    <w:p>
      <w:pPr>
        <w:pStyle w:val="Heading2"/>
      </w:pPr>
      <w:bookmarkStart w:id="49" w:name="_Toc49"/>
      <w:r>
        <w:t>Wijze van beoordelen</w:t>
      </w:r>
      <w:bookmarkEnd w:id="49"/>
    </w:p>
    <w:p>
      <w:pPr/>
      <w:r>
        <w:rPr/>
        <w:t xml:space="preserve">Scoremethodiek wordt door inkopende organisatie bepaald</w:t>
      </w:r>
    </w:p>
    <w:p>
      <w:pPr>
        <w:pStyle w:val="Heading2"/>
      </w:pPr>
      <w:bookmarkStart w:id="50" w:name="_Toc50"/>
      <w:r>
        <w:t>Bijbehorende contractbepaling</w:t>
      </w:r>
      <w:bookmarkEnd w:id="50"/>
    </w:p>
    <w:p>
      <w:pPr/>
      <w:r>
        <w:rPr/>
        <w:t xml:space="preserve">-</w:t>
      </w:r>
    </w:p>
    <w:p>
      <w:pPr>
        <w:pStyle w:val="Heading2"/>
      </w:pPr>
      <w:bookmarkStart w:id="51" w:name="_Toc51"/>
      <w:r>
        <w:t>Toelichting voor inkopende organisatie</w:t>
      </w:r>
      <w:bookmarkEnd w:id="51"/>
    </w:p>
    <w:p>
      <w:pPr/>
      <w:r>
        <w:rPr/>
        <w:t xml:space="preserve">Hergebruiken van producten en onderdelen vermindert de behoefte aan grondstoffenwinning en productieprocessen. Hergebruikte producten en onderdelen hebben altijd de voorkeur boven gerecyclede grondstoffen.
Gerecycled materiaal: materiaal dat is verkregen uit afval. Dit kan restmateriaal uit het productieproces zijn, of afval van producten die eerder zijn gebruikt door bijvoorbeeld de consument. De oorspronkelijke vorm van het product blijft daarbij niet behouden.
Hergebruikte producten of onderdelen: producten of onderdelen die eerder zijn gebruikt, worden op dezelfde manier opnieuw gebruikt in een nieuw of hetzelfde product. Ook het verbeteren of aanpassen van een onderdeel of product, zolang het dezelfde functie behoudt, valt onder hergebruik.</w:t>
      </w:r>
    </w:p>
    <w:p>
      <w:pPr>
        <w:pStyle w:val="Heading2"/>
      </w:pPr>
      <w:bookmarkStart w:id="52" w:name="_Toc52"/>
      <w:r>
        <w:t>External links</w:t>
      </w:r>
      <w:bookmarkEnd w:id="52"/>
    </w:p>
    <w:p>
      <w:pPr>
        <w:pStyle w:val="Heading2"/>
      </w:pPr>
      <w:bookmarkStart w:id="53" w:name="_Toc53"/>
      <w:r>
        <w:t>Bron</w:t>
      </w:r>
      <w:bookmarkEnd w:id="53"/>
    </w:p>
    <w:p>
      <w:pPr>
        <w:numPr>
          <w:ilvl w:val="0"/>
          <w:numId w:val="3"/>
        </w:numPr>
      </w:pPr>
      <w:r>
        <w:rPr/>
        <w:t xml:space="preserve">MVI criteria tool</w:t>
      </w:r>
    </w:p>
    <w:p/>
    <w:p>
      <w:pPr>
        <w:pStyle w:val="Heading1"/>
      </w:pPr>
      <w:bookmarkStart w:id="54" w:name="_Toc54"/>
      <w:r>
        <w:t>9.4 Nalevering van reserveonderdelen</w:t>
      </w:r>
      <w:bookmarkEnd w:id="54"/>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55" w:name="_Toc55"/>
      <w:r>
        <w:t>Thema's</w:t>
      </w:r>
      <w:bookmarkEnd w:id="55"/>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56" w:name="_Toc56"/>
      <w:r>
        <w:t>Tekst</w:t>
      </w:r>
      <w:bookmarkEnd w:id="56"/>
    </w:p>
    <w:p>
      <w:pPr/>
      <w:r>
        <w:rPr/>
        <w:t xml:space="preserve">Reserveonderdelen van product zijn leverbaar binnen de garantieperiode van 10 jaar na aankoop. Nalevering van de vervangende onderdelen gebeurt kosteloos of tegen een marktconforme prijs.</w:t>
      </w:r>
    </w:p>
    <w:p>
      <w:pPr>
        <w:pStyle w:val="Heading2"/>
      </w:pPr>
      <w:bookmarkStart w:id="57" w:name="_Toc57"/>
      <w:r>
        <w:t>Mogelijke bewijsmiddelen</w:t>
      </w:r>
      <w:bookmarkEnd w:id="57"/>
    </w:p>
    <w:p>
      <w:pPr/>
      <w:r>
        <w:rPr/>
        <w:t xml:space="preserve">Nader te bepalen, afhankelijk van keuzes (zie contractbepaling)</w:t>
      </w:r>
    </w:p>
    <w:p>
      <w:pPr>
        <w:pStyle w:val="Heading2"/>
      </w:pPr>
      <w:bookmarkStart w:id="58" w:name="_Toc58"/>
      <w:r>
        <w:t>Wijze van beoordelen</w:t>
      </w:r>
      <w:bookmarkEnd w:id="58"/>
    </w:p>
    <w:p>
      <w:pPr/>
      <w:r>
        <w:rPr/>
        <w:t xml:space="preserve">-</w:t>
      </w:r>
    </w:p>
    <w:p>
      <w:pPr>
        <w:pStyle w:val="Heading2"/>
      </w:pPr>
      <w:bookmarkStart w:id="59" w:name="_Toc59"/>
      <w:r>
        <w:t>Bijbehorende contractbepaling</w:t>
      </w:r>
      <w:bookmarkEnd w:id="59"/>
    </w:p>
    <w:p>
      <w:pPr/>
      <w:r>
        <w:rPr/>
        <w:t xml:space="preserve">In het contract staat beschreven wat de garantie inhoudt. Denk daarbij bijvoorbeeld aan:
- Indien product tijdens de garantieperiode bij normaal gebruik gebreken vertoont, worden reserveonderdelen gratis geleverd
- De eventuele kostprijs van reserveonderdelen staat in verhouding met de totale kostprijs van het product
- Indien product tijdens de garantieperiode door onjuist gebruik beschadigd is geraakt, zijn reserveonderdelen verkrijgbaar tegen een evenredige prijs.</w:t>
      </w:r>
    </w:p>
    <w:p>
      <w:pPr>
        <w:pStyle w:val="Heading2"/>
      </w:pPr>
      <w:bookmarkStart w:id="60" w:name="_Toc60"/>
      <w:r>
        <w:t>Toelichting voor inkopende organisatie</w:t>
      </w:r>
      <w:bookmarkEnd w:id="60"/>
    </w:p>
    <w:p>
      <w:pPr/>
      <w:r>
        <w:rPr/>
        <w:t xml:space="preserve">In overleg met leverancier een ander termijn invullen indien dat passender is. Onder 'onderdelen' worden alle componenten van het product verstaan.</w:t>
      </w:r>
    </w:p>
    <w:p>
      <w:pPr>
        <w:pStyle w:val="Heading2"/>
      </w:pPr>
      <w:bookmarkStart w:id="61" w:name="_Toc61"/>
      <w:r>
        <w:t>External links</w:t>
      </w:r>
      <w:bookmarkEnd w:id="61"/>
    </w:p>
    <w:p>
      <w:pPr>
        <w:pStyle w:val="Heading2"/>
      </w:pPr>
      <w:bookmarkStart w:id="62" w:name="_Toc62"/>
      <w:r>
        <w:t>Bron</w:t>
      </w:r>
      <w:bookmarkEnd w:id="62"/>
    </w:p>
    <w:p>
      <w:pPr>
        <w:numPr>
          <w:ilvl w:val="0"/>
          <w:numId w:val="3"/>
        </w:numPr>
      </w:pPr>
      <w:r>
        <w:rPr/>
        <w:t xml:space="preserve">MVI criteria tool</w:t>
      </w:r>
    </w:p>
    <w:p/>
    <w:p>
      <w:pPr>
        <w:pStyle w:val="Heading1"/>
      </w:pPr>
      <w:bookmarkStart w:id="63" w:name="_Toc63"/>
      <w:r>
        <w:t>9.5 Bijdrage aan klimaatdoelen</w:t>
      </w:r>
      <w:bookmarkEnd w:id="63"/>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64" w:name="_Toc64"/>
      <w:r>
        <w:t>Thema's</w:t>
      </w:r>
      <w:bookmarkEnd w:id="64"/>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65" w:name="_Toc65"/>
      <w:r>
        <w:t>Tekst</w:t>
      </w:r>
      <w:bookmarkEnd w:id="65"/>
    </w:p>
    <w:p>
      <w:pPr/>
      <w:r>
        <w:rPr/>
        <w:t xml:space="preserve">Inschrijver geeft aan hoe hij tijdens de contractperiode bijdraagt aan de klimaatdoelen van Opdrachtgever die voortkomen uit de Green Deal Duurzame Zorg en het Klimaatakkoord. Inschrijver geeft aan welke maatregelen hij neemt om dit doel te behalen.</w:t>
      </w:r>
    </w:p>
    <w:p>
      <w:pPr>
        <w:pStyle w:val="Heading2"/>
      </w:pPr>
      <w:bookmarkStart w:id="66" w:name="_Toc66"/>
      <w:r>
        <w:t>Mogelijke bewijsmiddelen</w:t>
      </w:r>
      <w:bookmarkEnd w:id="66"/>
    </w:p>
    <w:p>
      <w:pPr/>
      <w:r>
        <w:rPr/>
        <w:t xml:space="preserve">-</w:t>
      </w:r>
    </w:p>
    <w:p>
      <w:pPr>
        <w:pStyle w:val="Heading2"/>
      </w:pPr>
      <w:bookmarkStart w:id="67" w:name="_Toc67"/>
      <w:r>
        <w:t>Wijze van beoordelen</w:t>
      </w:r>
      <w:bookmarkEnd w:id="67"/>
    </w:p>
    <w:p>
      <w:pPr/>
      <w:r>
        <w:rPr/>
        <w:t xml:space="preserve">Beoordeling op de mate waarin de inschrijver:
-	Duidelijk en concreet inzicht geeft in zijn maatregelen
-	Met een onderbouwing aannemelijk maakt dat het haalbaar is dat de maatregelen uitgevoerd worden; en
-	Met een onderbouwing aannemelijk maakt dat de maatregelen bijdragen aan de vermindering van de CO2.</w:t>
      </w:r>
    </w:p>
    <w:p>
      <w:pPr>
        <w:pStyle w:val="Heading2"/>
      </w:pPr>
      <w:bookmarkStart w:id="68" w:name="_Toc68"/>
      <w:r>
        <w:t>Bijbehorende contractbepaling</w:t>
      </w:r>
      <w:bookmarkEnd w:id="68"/>
    </w:p>
    <w:p>
      <w:pPr/>
      <w:r>
        <w:rPr/>
        <w:t xml:space="preserve">[Zorgorganisatie] draagt bij aan het realiseren van de klimaatdoelen en geeft invulling aan de verplichtingen uit het klimaatakkoord en de Green Deal Duurzame zorg                                                                                                                                                                                                                                                                                                                                                                      Voor de categorie [invullen gebruiksmiddel] is dit vertaald naar de volgende ambitie:
[voeg toe]
Inschrijver dient aan te geven hoe zij hier gedurende de contractperiode concreet aan gaat bijdragen, op welke wijze (welke maatregelen) en met welk (verwacht) resultaat?</w:t>
      </w:r>
    </w:p>
    <w:p>
      <w:pPr>
        <w:pStyle w:val="Heading2"/>
      </w:pPr>
      <w:bookmarkStart w:id="69" w:name="_Toc69"/>
      <w:r>
        <w:t>Toelichting voor inkopende organisatie</w:t>
      </w:r>
      <w:bookmarkEnd w:id="69"/>
    </w:p>
    <w:p>
      <w:pPr/>
      <w:r>
        <w:rPr/>
        <w:t xml:space="preserve">Zelf invullen op de blauw gearceerde stukken tekst.                                                 Inkoper, let op: alleen van toepassing bij een meerjarige contractrelatie.</w:t>
      </w:r>
    </w:p>
    <w:p>
      <w:pPr>
        <w:pStyle w:val="Heading2"/>
      </w:pPr>
      <w:bookmarkStart w:id="70" w:name="_Toc70"/>
      <w:r>
        <w:t>External links</w:t>
      </w:r>
      <w:bookmarkEnd w:id="70"/>
    </w:p>
    <w:p>
      <w:pPr>
        <w:pStyle w:val="Heading2"/>
      </w:pPr>
      <w:bookmarkStart w:id="71" w:name="_Toc71"/>
      <w:r>
        <w:t>Bron</w:t>
      </w:r>
      <w:bookmarkEnd w:id="71"/>
    </w:p>
    <w:p>
      <w:pPr>
        <w:numPr>
          <w:ilvl w:val="0"/>
          <w:numId w:val="3"/>
        </w:numPr>
      </w:pPr>
      <w:r>
        <w:rPr/>
        <w:t xml:space="preserve">UMC Utrecht</w:t>
      </w:r>
    </w:p>
    <w:p/>
    <w:p>
      <w:pPr>
        <w:pStyle w:val="Heading1"/>
      </w:pPr>
      <w:bookmarkStart w:id="72" w:name="_Toc72"/>
      <w:r>
        <w:t>9.6 Vermindering CO2 uitstoot tijdens contractperiode</w:t>
      </w:r>
      <w:bookmarkEnd w:id="72"/>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73" w:name="_Toc73"/>
      <w:r>
        <w:t>Thema's</w:t>
      </w:r>
      <w:bookmarkEnd w:id="73"/>
    </w:p>
    <w:p>
      <w:pPr/>
      <w:r>
        <w:pict>
          <v:shape type="#_x0000_t75" stroked="f" style="width:47.376623376623pt; height:48pt; margin-left:0pt; margin-top:0pt; mso-position-horizontal:left; mso-position-vertical:top; mso-position-horizontal-relative:char; mso-position-vertical-relative:line;">
            <w10:wrap type="inline"/>
            <v:imagedata r:id="rId7"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74" w:name="_Toc74"/>
      <w:r>
        <w:t>Tekst</w:t>
      </w:r>
      <w:bookmarkEnd w:id="74"/>
    </w:p>
    <w:p>
      <w:pPr/>
      <w:r>
        <w:rPr/>
        <w:t xml:space="preserve">Inschrijver geeft aan hoe hij gedurende de contractperiode de CO2-uitstoot vermindert, zowel in de toeleveringsketen (supply chain) als tijdens het gebruik van product(en) en dienstverlening. Ook licht Inschrijver toe hoe hij dit opneemt in het contractmanagement-proces.</w:t>
      </w:r>
    </w:p>
    <w:p>
      <w:pPr>
        <w:pStyle w:val="Heading2"/>
      </w:pPr>
      <w:bookmarkStart w:id="75" w:name="_Toc75"/>
      <w:r>
        <w:t>Mogelijke bewijsmiddelen</w:t>
      </w:r>
      <w:bookmarkEnd w:id="75"/>
    </w:p>
    <w:p>
      <w:pPr/>
      <w:r>
        <w:rPr/>
        <w:t xml:space="preserve">Conform SBTI of vergelijkbare rapportages.</w:t>
      </w:r>
    </w:p>
    <w:p>
      <w:pPr>
        <w:pStyle w:val="Heading2"/>
      </w:pPr>
      <w:bookmarkStart w:id="76" w:name="_Toc76"/>
      <w:r>
        <w:t>Wijze van beoordelen</w:t>
      </w:r>
      <w:bookmarkEnd w:id="76"/>
    </w:p>
    <w:p>
      <w:pPr/>
      <w:r>
        <w:rPr/>
        <w:t xml:space="preserve">Beoordeling op de mate waarin Inschrijver:&amp;nbsp;Duidelijk en concreet inzicht geeft in zijn maatregelenMet een onderbouwing aannemelijk maakt dat de maatregelen haalbaar en uitvoerbaar zijnMet een onderbouwing aannemelijk maakt dat de maatregelen bijdragen aan de vermindering van CO2.</w:t>
      </w:r>
    </w:p>
    <w:p>
      <w:pPr>
        <w:pStyle w:val="Heading2"/>
      </w:pPr>
      <w:bookmarkStart w:id="77" w:name="_Toc77"/>
      <w:r>
        <w:t>Bijbehorende contractbepaling</w:t>
      </w:r>
      <w:bookmarkEnd w:id="77"/>
    </w:p>
    <w:p>
      <w:pPr/>
      <w:r>
        <w:rPr/>
        <w:t xml:space="preserve">-</w:t>
      </w:r>
    </w:p>
    <w:p>
      <w:pPr>
        <w:pStyle w:val="Heading2"/>
      </w:pPr>
      <w:bookmarkStart w:id="78" w:name="_Toc78"/>
      <w:r>
        <w:t>Toelichting voor inkopende organisatie</w:t>
      </w:r>
      <w:bookmarkEnd w:id="78"/>
    </w:p>
    <w:p>
      <w:pPr/>
      <w:r>
        <w:rPr/>
        <w:t xml:space="preserve">-</w:t>
      </w:r>
    </w:p>
    <w:p>
      <w:pPr>
        <w:pStyle w:val="Heading2"/>
      </w:pPr>
      <w:bookmarkStart w:id="79" w:name="_Toc79"/>
      <w:r>
        <w:t>External links</w:t>
      </w:r>
      <w:bookmarkEnd w:id="79"/>
    </w:p>
    <w:p>
      <w:pPr>
        <w:pStyle w:val="Heading2"/>
      </w:pPr>
      <w:bookmarkStart w:id="80" w:name="_Toc80"/>
      <w:r>
        <w:t>Bron</w:t>
      </w:r>
      <w:bookmarkEnd w:id="80"/>
    </w:p>
    <w:p>
      <w:pPr>
        <w:numPr>
          <w:ilvl w:val="0"/>
          <w:numId w:val="3"/>
        </w:numPr>
      </w:pPr>
      <w:r>
        <w:rPr/>
        <w:t xml:space="preserve">UMC Utrecht</w:t>
      </w:r>
    </w:p>
    <w:p/>
    <w:p>
      <w:pPr>
        <w:pStyle w:val="Heading1"/>
      </w:pPr>
      <w:bookmarkStart w:id="81" w:name="_Toc81"/>
      <w:r>
        <w:t>9.7 Bijdrage aan circulariteitsdoelen</w:t>
      </w:r>
      <w:bookmarkEnd w:id="81"/>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82" w:name="_Toc82"/>
      <w:r>
        <w:t>Thema's</w:t>
      </w:r>
      <w:bookmarkEnd w:id="82"/>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83" w:name="_Toc83"/>
      <w:r>
        <w:t>Tekst</w:t>
      </w:r>
      <w:bookmarkEnd w:id="83"/>
    </w:p>
    <w:p>
      <w:pPr/>
      <w:r>
        <w:rPr/>
        <w:t xml:space="preserve">Inschrijver geeft aan hoe hij tijdens de contractperiode bijdraagt aan de circulaire economie en hoe hij de uitputting van primaire grondstoffen (olie, gas, steen, etc.) voorkomt, dit moet in lijn zijn met de doelen uit de Green Deal Duurzame Zorg. Inschrijver en Opdrachtgever bepalen voor het product een circulariteitsdoel, waarna Inschrijver concreet aangeeft welke maatregelen hij neemt om dit doel te behalen en welk resultaat hij verwacht.</w:t>
      </w:r>
    </w:p>
    <w:p>
      <w:pPr>
        <w:pStyle w:val="Heading2"/>
      </w:pPr>
      <w:bookmarkStart w:id="84" w:name="_Toc84"/>
      <w:r>
        <w:t>Mogelijke bewijsmiddelen</w:t>
      </w:r>
      <w:bookmarkEnd w:id="84"/>
    </w:p>
    <w:p>
      <w:pPr/>
      <w:r>
        <w:rPr/>
        <w:t xml:space="preserve">-</w:t>
      </w:r>
    </w:p>
    <w:p>
      <w:pPr>
        <w:pStyle w:val="Heading2"/>
      </w:pPr>
      <w:bookmarkStart w:id="85" w:name="_Toc85"/>
      <w:r>
        <w:t>Wijze van beoordelen</w:t>
      </w:r>
      <w:bookmarkEnd w:id="85"/>
    </w:p>
    <w:p>
      <w:pPr/>
      <w:r>
        <w:rPr/>
        <w:t xml:space="preserve">Beoordeling op de mate waarin de inschrijver:-&amp;nbsp;&amp;nbsp;&amp;nbsp;&amp;nbsp;Duidelijk en concreet inzicht geeft in zijn maatregelen-&amp;nbsp;&amp;nbsp;&amp;nbsp;&amp;nbsp;Met een onderbouwing aannemelijk maakt dat het haalbaar is dat de maatregelen uitgevoerd worden; en-&amp;nbsp;&amp;nbsp;&amp;nbsp;&amp;nbsp;Met een onderbouwing aannemelijk maakt dat de maatregelen bijdragen aan het doel.</w:t>
      </w:r>
    </w:p>
    <w:p>
      <w:pPr>
        <w:pStyle w:val="Heading2"/>
      </w:pPr>
      <w:bookmarkStart w:id="86" w:name="_Toc86"/>
      <w:r>
        <w:t>Bijbehorende contractbepaling</w:t>
      </w:r>
      <w:bookmarkEnd w:id="86"/>
    </w:p>
    <w:p>
      <w:pPr/>
      <w:r>
        <w:rPr/>
        <w:t xml:space="preserve">Voor de categorie [invullen gebruiksmiddel] is dit vertaald naar de volgende ambitie:</w:t>
      </w:r>
    </w:p>
    <w:p>
      <w:pPr>
        <w:pStyle w:val="Heading2"/>
      </w:pPr>
      <w:bookmarkStart w:id="87" w:name="_Toc87"/>
      <w:r>
        <w:t>Toelichting voor inkopende organisatie</w:t>
      </w:r>
      <w:bookmarkEnd w:id="87"/>
    </w:p>
    <w:p>
      <w:pPr/>
      <w:r>
        <w:rPr/>
        <w:t xml:space="preserve">Let op: alleen van toepassing bij een meerjarige contractrelatie. Inkopende organisatie kan ervoor kiezen de volgende tekst over te nemen. Zelf invullen: [tekst tussen haken].&amp;nbsp;[Zorgorganisatie] draagt bij aan de circulaire economie door uitputting van (kostbare) primaire grondstoffen te voorkomen conform de doelen uit de Green Deal Duurzame zorg. Voor de categorie [invullen product] is dit vertaald naar de volgende ambities: [voeg toe] Inschrijver dient aan te geven hoe zij hier gedurende de contractperiode concreet aan gaat bijdragen, op welke wijze (welke maatregelen) en met welk (verwacht) resultaat?</w:t>
      </w:r>
    </w:p>
    <w:p>
      <w:pPr>
        <w:pStyle w:val="Heading2"/>
      </w:pPr>
      <w:bookmarkStart w:id="88" w:name="_Toc88"/>
      <w:r>
        <w:t>External links</w:t>
      </w:r>
      <w:bookmarkEnd w:id="88"/>
    </w:p>
    <w:p>
      <w:pPr>
        <w:pStyle w:val="Heading2"/>
      </w:pPr>
      <w:bookmarkStart w:id="89" w:name="_Toc89"/>
      <w:r>
        <w:t>Bron</w:t>
      </w:r>
      <w:bookmarkEnd w:id="89"/>
    </w:p>
    <w:p>
      <w:pPr>
        <w:numPr>
          <w:ilvl w:val="0"/>
          <w:numId w:val="3"/>
        </w:numPr>
      </w:pPr>
      <w:r>
        <w:rPr/>
        <w:t xml:space="preserve">UMC Utrecht</w:t>
      </w:r>
    </w:p>
    <w:p/>
    <w:p>
      <w:pPr>
        <w:pStyle w:val="Heading1"/>
      </w:pPr>
      <w:bookmarkStart w:id="90" w:name="_Toc90"/>
      <w:r>
        <w:t>9.8 Retourname producten</w:t>
      </w:r>
      <w:bookmarkEnd w:id="90"/>
    </w:p>
    <w:p>
      <w:pPr/>
      <w:r>
        <w:rPr>
          <w:b w:val="1"/>
          <w:bCs w:val="1"/>
        </w:rPr>
        <w:t xml:space="preserve">Productgroep: </w:t>
      </w:r>
      <w:r>
        <w:rPr/>
        <w:t xml:space="preserve">Gebruiksartikelen</w:t>
      </w:r>
    </w:p>
    <w:p>
      <w:pPr/>
      <w:r>
        <w:rPr>
          <w:b w:val="1"/>
          <w:bCs w:val="1"/>
        </w:rPr>
        <w:t xml:space="preserve">Voorwaarden: </w:t>
      </w:r>
      <w:r>
        <w:rPr/>
        <w:t xml:space="preserve">Gunningscriteria</w:t>
      </w:r>
    </w:p>
    <w:p>
      <w:pPr>
        <w:pStyle w:val="Heading2"/>
      </w:pPr>
      <w:bookmarkStart w:id="91" w:name="_Toc91"/>
      <w:r>
        <w:t>Thema's</w:t>
      </w:r>
      <w:bookmarkEnd w:id="91"/>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65.00.00.00 - Disposables, 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w:t>
      </w:r>
    </w:p>
    <w:p>
      <w:pPr>
        <w:pStyle w:val="Heading2"/>
      </w:pPr>
      <w:bookmarkStart w:id="92" w:name="_Toc92"/>
      <w:r>
        <w:t>Tekst</w:t>
      </w:r>
      <w:bookmarkEnd w:id="92"/>
    </w:p>
    <w:p>
      <w:pPr/>
      <w:r>
        <w:rPr/>
        <w:t xml:space="preserve">Inschrijver geeft aan wat er met apparatuur gebeurt die het einde van de levensduur hebben bereikt.
-	Op productniveau: worden de producten gerefurbished of doorverkocht?
-	Op materiaalniveau: worden de materialen gerecycled of hergebruikt in nieuwe producten?</w:t>
      </w:r>
    </w:p>
    <w:p>
      <w:pPr>
        <w:pStyle w:val="Heading2"/>
      </w:pPr>
      <w:bookmarkStart w:id="93" w:name="_Toc93"/>
      <w:r>
        <w:t>Mogelijke bewijsmiddelen</w:t>
      </w:r>
      <w:bookmarkEnd w:id="93"/>
    </w:p>
    <w:p>
      <w:pPr/>
      <w:r>
        <w:rPr/>
        <w:t xml:space="preserve">-</w:t>
      </w:r>
    </w:p>
    <w:p>
      <w:pPr>
        <w:pStyle w:val="Heading2"/>
      </w:pPr>
      <w:bookmarkStart w:id="94" w:name="_Toc94"/>
      <w:r>
        <w:t>Wijze van beoordelen</w:t>
      </w:r>
      <w:bookmarkEnd w:id="94"/>
    </w:p>
    <w:p>
      <w:pPr/>
      <w:r>
        <w:rPr/>
        <w:t xml:space="preserve">Dit deel van de inschrijving wordt hoger gewaardeerd wanneer:
- Inschrijver een hoog percentage van het product recyclet
- De producten op een hoogwaardige manier worden hergebruikt</w:t>
      </w:r>
    </w:p>
    <w:p>
      <w:pPr>
        <w:pStyle w:val="Heading2"/>
      </w:pPr>
      <w:bookmarkStart w:id="95" w:name="_Toc95"/>
      <w:r>
        <w:t>Bijbehorende contractbepaling</w:t>
      </w:r>
      <w:bookmarkEnd w:id="95"/>
    </w:p>
    <w:p>
      <w:pPr/>
      <w:r>
        <w:rPr/>
        <w:t xml:space="preserve">-</w:t>
      </w:r>
    </w:p>
    <w:p>
      <w:pPr>
        <w:pStyle w:val="Heading2"/>
      </w:pPr>
      <w:bookmarkStart w:id="96" w:name="_Toc96"/>
      <w:r>
        <w:t>Toelichting voor inkopende organisatie</w:t>
      </w:r>
      <w:bookmarkEnd w:id="96"/>
    </w:p>
    <w:p>
      <w:pPr/>
      <w:r>
        <w:rPr/>
        <w:t xml:space="preserve">Let op: neem dit criterium alleen op wanneer het innemen van producten aan het einde van de levensduur onderdeel uitmaakt van de aanvraag.
Om te beoordelen of de toepassing van ingenomen product hoogwaardig of laagwaardig is, wordt de R-ladder gebruikt: 0 Refuse, 1 Rethink, 2 Reduce, 3 Reuse, 4 Repair, 5 Refurbish en Remanufacture, 6 Repurpose, 7 Recycle, 8 Recover.
Stap 0 is de hoogste trede van de ladder, stap 8 de laagste. Hoe hoger de trede, hoe hoogwaardiger en daarmee duurzamer de toepassing.</w:t>
      </w:r>
    </w:p>
    <w:p>
      <w:pPr>
        <w:pStyle w:val="Heading2"/>
      </w:pPr>
      <w:bookmarkStart w:id="97" w:name="_Toc97"/>
      <w:r>
        <w:t>External links</w:t>
      </w:r>
      <w:bookmarkEnd w:id="97"/>
    </w:p>
    <w:p>
      <w:pPr>
        <w:pStyle w:val="Heading2"/>
      </w:pPr>
      <w:bookmarkStart w:id="98" w:name="_Toc98"/>
      <w:r>
        <w:t>Bron</w:t>
      </w:r>
      <w:bookmarkEnd w:id="98"/>
    </w:p>
    <w:p>
      <w:pPr>
        <w:numPr>
          <w:ilvl w:val="0"/>
          <w:numId w:val="3"/>
        </w:numPr>
      </w:pPr>
      <w:r>
        <w:rPr/>
        <w:t xml:space="preserve">MVI criteria tool</w:t>
      </w:r>
    </w:p>
    <w:p/>
    <w:p>
      <w:pPr>
        <w:pStyle w:val="Heading1"/>
      </w:pPr>
      <w:bookmarkStart w:id="99" w:name="_Toc99"/>
      <w:r>
        <w:t>9.9 Duidelijke instructies over reparatiemogelijkheden</w:t>
      </w:r>
      <w:bookmarkEnd w:id="99"/>
    </w:p>
    <w:p>
      <w:pPr/>
      <w:r>
        <w:rPr>
          <w:b w:val="1"/>
          <w:bCs w:val="1"/>
        </w:rPr>
        <w:t xml:space="preserve">Productgroep: </w:t>
      </w:r>
      <w:r>
        <w:rPr/>
        <w:t xml:space="preserve">Gebruiksartikelen</w:t>
      </w:r>
    </w:p>
    <w:p>
      <w:pPr/>
      <w:r>
        <w:rPr>
          <w:b w:val="1"/>
          <w:bCs w:val="1"/>
        </w:rPr>
        <w:t xml:space="preserve">Voorwaarden: </w:t>
      </w:r>
      <w:r>
        <w:rPr/>
        <w:t xml:space="preserve">Eisen</w:t>
      </w:r>
    </w:p>
    <w:p>
      <w:pPr>
        <w:pStyle w:val="Heading2"/>
      </w:pPr>
      <w:bookmarkStart w:id="100" w:name="_Toc100"/>
      <w:r>
        <w:t>Thema's</w:t>
      </w:r>
      <w:bookmarkEnd w:id="100"/>
    </w:p>
    <w:p>
      <w:pPr/>
      <w:r>
        <w:pict>
          <v:shape type="#_x0000_t75" stroked="f" style="width:46.736842105263pt; height:48pt; margin-left:0pt; margin-top:0pt; mso-position-horizontal:left; mso-position-vertical:top; mso-position-horizontal-relative:char; mso-position-vertical-relative:line;">
            <w10:wrap type="inline"/>
            <v:imagedata r:id="rId8" o:title=""/>
          </v:shape>
        </w:pict>
      </w:r>
    </w:p>
    <w:p>
      <w:pPr/>
      <w:r>
        <w:rPr>
          <w:b w:val="1"/>
          <w:bCs w:val="1"/>
        </w:rPr>
        <w:t xml:space="preserve">AOC: </w:t>
      </w:r>
      <w:r>
        <w:rPr/>
        <w:t xml:space="preserve">40.00.00.00 - Behandelings/verplegingsapparatuur/toebehoren, 41.00.00.00 - Hulpmiddelen; minder validen, 42.00.00.00 - Orgaanfunctie ondersteuningsapparatuur/toebehoren, 43.00.00.00 - Chirurgie apparatuur/toebehoren, 44.00.00.00 - Anesthesie-beademingsapparatuur/toebehoren, 45.00.00.00 - Laboratoriumapparatuur/toebehoren, 46.00.00.00 - Functieonderzoek; bewakingsapparatuur, 47.00.00.00 -  Beeldvormende diagnostische apparatuur, 65.00.00.00 - Disposables</w:t>
      </w:r>
    </w:p>
    <w:p>
      <w:pPr>
        <w:pStyle w:val="Heading2"/>
      </w:pPr>
      <w:bookmarkStart w:id="101" w:name="_Toc101"/>
      <w:r>
        <w:t>Tekst</w:t>
      </w:r>
      <w:bookmarkEnd w:id="101"/>
    </w:p>
    <w:p>
      <w:pPr/>
      <w:r>
        <w:rPr/>
        <w:t xml:space="preserve">Inschrijver levert instructies over de reparatiemogelijkheden wanneer het product een veelvoorkomend defect vertoont, ongeacht of het defect binnen of buiten de garantie valt. Deze instructies zijn overzichtelijk opgesteld: per defect wordt in detail uitgelegd welke handelingen de inkopende organisatie moet uitvoeren.
Instructies worden na het afsluiten van het contract geleverd en binnen één maand besproken (dit laatste alleen wanneer Opdrachtgever dit wenst). Dit gesprek vindt plaats tussen Opdrachtgever en Inschrijver. Inschrijver kan ook een gesprek tussen Opdrachtgever en een deskundige derde partij faciliteren, bijvoorbeeld met de merkeigenaar van het product.
Indien product wordt vervangen door een refurbished exemplaar, vervalt de eis om instructies aan te leveren. Hiervoor dient de inschrijver wel vooraf toestemming te krijgen van Opdrachtgever.</w:t>
      </w:r>
    </w:p>
    <w:p>
      <w:pPr>
        <w:pStyle w:val="Heading2"/>
      </w:pPr>
      <w:bookmarkStart w:id="102" w:name="_Toc102"/>
      <w:r>
        <w:t>Mogelijke bewijsmiddelen</w:t>
      </w:r>
      <w:bookmarkEnd w:id="102"/>
    </w:p>
    <w:p>
      <w:pPr/>
      <w:r>
        <w:rPr/>
        <w:t xml:space="preserve">-</w:t>
      </w:r>
    </w:p>
    <w:p>
      <w:pPr>
        <w:pStyle w:val="Heading2"/>
      </w:pPr>
      <w:bookmarkStart w:id="103" w:name="_Toc103"/>
      <w:r>
        <w:t>Wijze van beoordelen</w:t>
      </w:r>
      <w:bookmarkEnd w:id="103"/>
    </w:p>
    <w:p>
      <w:pPr/>
      <w:r>
        <w:rPr/>
        <w:t xml:space="preserve">-</w:t>
      </w:r>
    </w:p>
    <w:p>
      <w:pPr>
        <w:pStyle w:val="Heading2"/>
      </w:pPr>
      <w:bookmarkStart w:id="104" w:name="_Toc104"/>
      <w:r>
        <w:t>Bijbehorende contractbepaling</w:t>
      </w:r>
      <w:bookmarkEnd w:id="104"/>
    </w:p>
    <w:p>
      <w:pPr/>
      <w:r>
        <w:rPr/>
        <w:t xml:space="preserve">[voeg toe]</w:t>
      </w:r>
    </w:p>
    <w:p>
      <w:pPr>
        <w:pStyle w:val="Heading2"/>
      </w:pPr>
      <w:bookmarkStart w:id="105" w:name="_Toc105"/>
      <w:r>
        <w:t>Toelichting voor inkopende organisatie</w:t>
      </w:r>
      <w:bookmarkEnd w:id="105"/>
    </w:p>
    <w:p>
      <w:pPr/>
      <w:r>
        <w:rPr/>
        <w:t xml:space="preserve">Bespreek tijdens een marktconsultatie de mogelijkheden voor aanvullende diensten, denk hierbij bijvoorbeeld aan:
- Het ophalen van defecte producten op locatie.
- Het langer bewaren van reserveonderdelen die nodig zijn voor toekomstige reparaties.</w:t>
      </w:r>
    </w:p>
    <w:p>
      <w:pPr>
        <w:pStyle w:val="Heading2"/>
      </w:pPr>
      <w:bookmarkStart w:id="106" w:name="_Toc106"/>
      <w:r>
        <w:t>External links</w:t>
      </w:r>
      <w:bookmarkEnd w:id="106"/>
    </w:p>
    <w:p>
      <w:pPr>
        <w:pStyle w:val="Heading2"/>
      </w:pPr>
      <w:bookmarkStart w:id="107" w:name="_Toc107"/>
      <w:r>
        <w:t>Bron</w:t>
      </w:r>
      <w:bookmarkEnd w:id="107"/>
    </w:p>
    <w:p>
      <w:pPr>
        <w:numPr>
          <w:ilvl w:val="0"/>
          <w:numId w:val="3"/>
        </w:numPr>
      </w:pPr>
      <w:r>
        <w:rPr/>
        <w:t xml:space="preserve">MVI criteria tool</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3">
    <w:nsid w:val="F65000B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32"/>
      <w:szCs w:val="32"/>
      <w:b w:val="1"/>
      <w:bCs w:val="1"/>
    </w:rPr>
  </w:style>
  <w:style w:type="paragraph" w:styleId="Heading2">
    <w:link w:val="Heading2Char"/>
    <w:name w:val="heading 2"/>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image" Target="media/section_image2.png"/><Relationship Id="rId9" Type="http://schemas.openxmlformats.org/officeDocument/2006/relationships/hyperlink" Target="https://www.degroenez.org/productgroepen/incontinentiebroek/wegwerp#section-sustainable-use" TargetMode="External"/><Relationship Id="rId10" Type="http://schemas.openxmlformats.org/officeDocument/2006/relationships/hyperlink" Target="https://www.nen.nl/en/nen-en-50625-1-2014-en-193413" TargetMode="External"/><Relationship Id="rId11" Type="http://schemas.openxmlformats.org/officeDocument/2006/relationships/hyperlink" Target="https://www.nen.nl/nen-en-50614-2020-en-268044" TargetMode="External"/><Relationship Id="rId12" Type="http://schemas.openxmlformats.org/officeDocument/2006/relationships/hyperlink" Target="https://afvalcirculair.nl/uitgebreide-producentenverantwoordelijkheid-upv/overzicht-upv/upv-elektr-on-ische-apparaten/virtuele-map/handreiking-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2026-04-17T10:25:02+02:00</dcterms:created>
  <dcterms:modified xsi:type="dcterms:W3CDTF">2026-04-17T10:25:02+02:00</dcterms:modified>
</cp:coreProperties>
</file>

<file path=docProps/custom.xml><?xml version="1.0" encoding="utf-8"?>
<Properties xmlns="http://schemas.openxmlformats.org/officeDocument/2006/custom-properties" xmlns:vt="http://schemas.openxmlformats.org/officeDocument/2006/docPropsVTypes"/>
</file>