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2.2 Secundaire en tertiaire verpakkingen bestaan uit gerecycled materiaal</w:t>
      </w:r>
      <w:bookmarkEnd w:id="0"/>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1" w:name="_Toc1"/>
      <w:r>
        <w:t>Thema's</w:t>
      </w:r>
      <w:bookmarkEnd w:id="1"/>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2" w:name="_Toc2"/>
      <w:r>
        <w:t>Tekst</w:t>
      </w:r>
      <w:bookmarkEnd w:id="2"/>
    </w:p>
    <w:p>
      <w:pPr/>
      <w:r>
        <w:rPr/>
        <w:t xml:space="preserve">Bij het gebruik van karton voor secundaire en/of tertiaire verpakkingen moet dit karton voor minimaal 80% uit post-consumer gerecycled materiaal, hernieuwbaar of gerecycled materiaal bestaan. Bij het gebruik van niet bio-based kunststof folie of -vellen voor secundaire of tertiaire verpakkingen, moet dit voor minimaal 75% uit gerecycled materiaal bestaan.</w:t>
      </w:r>
    </w:p>
    <w:p>
      <w:pPr>
        <w:pStyle w:val="Heading2"/>
      </w:pPr>
      <w:bookmarkStart w:id="3" w:name="_Toc3"/>
      <w:r>
        <w:t>Mogelijke bewijsmiddelen</w:t>
      </w:r>
      <w:bookmarkEnd w:id="3"/>
    </w:p>
    <w:p>
      <w:pPr/>
      <w:r>
        <w:rPr/>
        <w:t xml:space="preserve">Inschrijver informeert Opdrachtgever over de samenstelling van de verpakking(en). Hij levert de technische specificaties van de verpakkingen(en) en een verklaring waarin staat dat hij aan dit criterium voldoet.</w:t>
      </w:r>
    </w:p>
    <w:p>
      <w:pPr>
        <w:pStyle w:val="Heading2"/>
      </w:pPr>
      <w:bookmarkStart w:id="4" w:name="_Toc4"/>
      <w:r>
        <w:t>Wijze van beoordelen</w:t>
      </w:r>
      <w:bookmarkEnd w:id="4"/>
    </w:p>
    <w:p>
      <w:pPr/>
      <w:r>
        <w:rPr/>
        <w:t xml:space="preserve">-</w:t>
      </w:r>
    </w:p>
    <w:p>
      <w:pPr>
        <w:pStyle w:val="Heading2"/>
      </w:pPr>
      <w:bookmarkStart w:id="5" w:name="_Toc5"/>
      <w:r>
        <w:t>Bijbehorende contractbepaling</w:t>
      </w:r>
      <w:bookmarkEnd w:id="5"/>
    </w:p>
    <w:p>
      <w:pPr/>
      <w:r>
        <w:rPr/>
        <w:t xml:space="preserve">-</w:t>
      </w:r>
    </w:p>
    <w:p>
      <w:pPr>
        <w:pStyle w:val="Heading2"/>
      </w:pPr>
      <w:bookmarkStart w:id="6" w:name="_Toc6"/>
      <w:r>
        <w:t>Toelichting voor inkopende organisatie</w:t>
      </w:r>
      <w:bookmarkEnd w:id="6"/>
    </w:p>
    <w:p>
      <w:pPr/>
      <w:r>
        <w:rPr/>
        <w:t xml:space="preserve">Op verzoekt levert Inschrijver het volgende aan:&amp;nbsp;Zelfverklaring dat verpakkingsmateriaal voldoet aan EU-richtlijn 94/62/EG betreffende verpakking en verpakkingsafval Technische documentatie waaruit blijkt dat het materiaal geen PVC bevat Voor medische handschoenen: EN ISO 15223–1 Medische hulpmiddelen - Symbolen voor het gebruik met informatievoorziening door de fabrikant - Deel 1: Algemene eisenVoor laboratoriumhandschoenen: EN 21420 Beschermende handschoenen - Algemene eisen en beproevingsmethoden &amp;nbsp;Eigen verklaring (inclusief technische documentatie) die geverifieerd is door een geaccrediteerde verificatie-instantie. Deze instantie voldoet aan ISO/IEC 17029 Conformity Assessment - General principles and requirements for validation and verification bodies, of een gelijkwaardige norm.Chirurgische handschoenen:- ISO11607-1:2006 Verpakking voor terminaal gesteriliseerde medische hulpmiddelen – Deel 1: Eisen voor materialen, steriele barrièresystemen en verpakkingssystemen of gelijkwaardig&amp;nbsp;</w:t>
      </w:r>
    </w:p>
    <w:p>
      <w:pPr>
        <w:pStyle w:val="Heading2"/>
      </w:pPr>
      <w:bookmarkStart w:id="7" w:name="_Toc7"/>
      <w:r>
        <w:t>External links</w:t>
      </w:r>
      <w:bookmarkEnd w:id="7"/>
    </w:p>
    <w:p>
      <w:pPr>
        <w:pStyle w:val="Heading2"/>
      </w:pPr>
      <w:bookmarkStart w:id="8" w:name="_Toc8"/>
      <w:r>
        <w:t>Bron</w:t>
      </w:r>
      <w:bookmarkEnd w:id="8"/>
    </w:p>
    <w:p>
      <w:pPr>
        <w:numPr>
          <w:ilvl w:val="0"/>
          <w:numId w:val="3"/>
        </w:numPr>
      </w:pPr>
      <w:r>
        <w:rPr/>
        <w:t xml:space="preserve">MVI criteria tool</w:t>
      </w:r>
    </w:p>
    <w:p/>
    <w:p>
      <w:pPr>
        <w:pStyle w:val="Heading1"/>
      </w:pPr>
      <w:bookmarkStart w:id="9" w:name="_Toc9"/>
      <w:r>
        <w:t>2.3 De mogelijkheid om verpakkingen te hergebruiken of te recyclen wordt hoger gewaardeerd.</w:t>
      </w:r>
      <w:bookmarkEnd w:id="9"/>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10" w:name="_Toc10"/>
      <w:r>
        <w:t>Thema's</w:t>
      </w:r>
      <w:bookmarkEnd w:id="10"/>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1" w:name="_Toc11"/>
      <w:r>
        <w:t>Tekst</w:t>
      </w:r>
      <w:bookmarkEnd w:id="11"/>
    </w:p>
    <w:p>
      <w:pPr/>
      <w:r>
        <w:rPr/>
        <w:t xml:space="preserve">Inschrijver toont aan dat hij prioriteit geeft aan het gebruiken van verpakkingen die makkelijk te recyclen of te hergebruiken zijn. Dit bewijst hij door te laten zien:&amp;nbsp;Hoeveel procent (%) van de verpakking geschikt is voor hergebruik Hoeveel procent (%) van de verpakkingen geschikt is voor recycling Welk systeem wordt gebruikt voor het hergebruiken van verpakkingen (bijvoorbeeld: pool- of statiegeldsysteem) Welk systeem wordt gebruikt om verpakkingen goed te recyclen Of er multilayers en samengestelde verpakkingen worden gebruikt Of er kunststoffen 'lager tarief' (volgens de definitie van het Afvalfonds Verpakkingen) verpakkingen worden gebruikt.</w:t>
      </w:r>
    </w:p>
    <w:p>
      <w:pPr>
        <w:pStyle w:val="Heading2"/>
      </w:pPr>
      <w:bookmarkStart w:id="12" w:name="_Toc12"/>
      <w:r>
        <w:t>Mogelijke bewijsmiddelen</w:t>
      </w:r>
      <w:bookmarkEnd w:id="12"/>
    </w:p>
    <w:p>
      <w:pPr/>
      <w:r>
        <w:rPr/>
        <w:t xml:space="preserve">Technische productspecificaties van de verpakkingen of andere documentatie waaruit blijkt dat aan dit criterium is voldaan. Of gelijkwaardig.</w:t>
      </w:r>
    </w:p>
    <w:p>
      <w:pPr>
        <w:pStyle w:val="Heading2"/>
      </w:pPr>
      <w:bookmarkStart w:id="13" w:name="_Toc13"/>
      <w:r>
        <w:t>Wijze van beoordelen</w:t>
      </w:r>
      <w:bookmarkEnd w:id="13"/>
    </w:p>
    <w:p>
      <w:pPr/>
      <w:r>
        <w:rPr/>
        <w:t xml:space="preserve">Hoe meer Inschrijver het recyclen of hergebruiken van verpakkingen prioriteert, hoe hoger dit deel van de inschrijving wordt gewaardeerd. Hergebruik en meervoudig gebruik worden hoger gewaardeerd dan recycling.</w:t>
      </w:r>
    </w:p>
    <w:p>
      <w:pPr>
        <w:pStyle w:val="Heading2"/>
      </w:pPr>
      <w:bookmarkStart w:id="14" w:name="_Toc14"/>
      <w:r>
        <w:t>Bijbehorende contractbepaling</w:t>
      </w:r>
      <w:bookmarkEnd w:id="14"/>
    </w:p>
    <w:p>
      <w:pPr/>
      <w:r>
        <w:rPr/>
        <w:t xml:space="preserve">-</w:t>
      </w:r>
    </w:p>
    <w:p>
      <w:pPr>
        <w:pStyle w:val="Heading2"/>
      </w:pPr>
      <w:bookmarkStart w:id="15" w:name="_Toc15"/>
      <w:r>
        <w:t>Toelichting voor inkopende organisatie</w:t>
      </w:r>
      <w:bookmarkEnd w:id="15"/>
    </w:p>
    <w:p>
      <w:pPr/>
      <w:r>
        <w:rPr/>
        <w:t xml:space="preserve">Het Afvalfonds hanteert sinds 1 januari 2019 verschillende tarieven voor kunststofverpakkingen. Voor goed te sorteren en te recyclen kunststofverpakkingen die ook een positieve marktwaarde hebben, geldt een lager tarief. Dit materiaal wordt aangeduid als ‘kunststof lager tarief’. De voorwaarden om voor dit lage tarief in aanmerking te komen, zijn vastgelegd in een aparte regeling. Zie het Afvalfonds voor meer informatie over welke kunststoffen een lager tarief hebben. Gerecycled materiaal: materiaal dat is verkregen uit afval. Dit kan restmateriaal uit het productieproces zijn, of afval van producten die eerder zijn gebruikt door bijvoorbeeld de consument. De oorspronkelijke vorm van het product blijft daarbij niet behouden. Hergebruikte producten of onderdelen: producten of onderdelen die eerder zijn gebruikt, worden op dezelfde manier opnieuw gebruikt in een nieuw of hetzelfde product. Ook het verbeteren of aanpassen van een onderdeel of product, zolang het dezelfde functie behoudt, valt onder hergebruik.</w:t>
      </w:r>
    </w:p>
    <w:p>
      <w:pPr>
        <w:pStyle w:val="Heading2"/>
      </w:pPr>
      <w:bookmarkStart w:id="16" w:name="_Toc16"/>
      <w:r>
        <w:t>External links</w:t>
      </w:r>
      <w:bookmarkEnd w:id="16"/>
    </w:p>
    <w:p>
      <w:pPr>
        <w:pStyle w:val="Heading2"/>
      </w:pPr>
      <w:bookmarkStart w:id="17" w:name="_Toc17"/>
      <w:r>
        <w:t>Bron</w:t>
      </w:r>
      <w:bookmarkEnd w:id="17"/>
    </w:p>
    <w:p>
      <w:pPr>
        <w:numPr>
          <w:ilvl w:val="0"/>
          <w:numId w:val="3"/>
        </w:numPr>
      </w:pPr>
      <w:r>
        <w:rPr/>
        <w:t xml:space="preserve">MVI criteria tool</w:t>
      </w:r>
    </w:p>
    <w:p/>
    <w:p>
      <w:pPr>
        <w:pStyle w:val="Heading1"/>
      </w:pPr>
      <w:bookmarkStart w:id="18" w:name="_Toc18"/>
      <w:r>
        <w:t>2.4 Design for Recycling</w:t>
      </w:r>
      <w:bookmarkEnd w:id="18"/>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19" w:name="_Toc19"/>
      <w:r>
        <w:t>Thema's</w:t>
      </w:r>
      <w:bookmarkEnd w:id="19"/>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20" w:name="_Toc20"/>
      <w:r>
        <w:t>Tekst</w:t>
      </w:r>
      <w:bookmarkEnd w:id="20"/>
    </w:p>
    <w:p>
      <w:pPr/>
      <w:r>
        <w:rPr/>
        <w:t xml:space="preserve">Verpakking moet recyclebaar zijn volgens internationaal erkende standaard Design for Recycling</w:t>
      </w:r>
    </w:p>
    <w:p>
      <w:pPr>
        <w:pStyle w:val="Heading2"/>
      </w:pPr>
      <w:bookmarkStart w:id="21" w:name="_Toc21"/>
      <w:r>
        <w:t>Mogelijke bewijsmiddelen</w:t>
      </w:r>
      <w:bookmarkEnd w:id="21"/>
    </w:p>
    <w:p>
      <w:pPr/>
      <w:r>
        <w:rPr/>
        <w:t xml:space="preserve">-</w:t>
      </w:r>
    </w:p>
    <w:p>
      <w:pPr>
        <w:pStyle w:val="Heading2"/>
      </w:pPr>
      <w:bookmarkStart w:id="22" w:name="_Toc22"/>
      <w:r>
        <w:t>Wijze van beoordelen</w:t>
      </w:r>
      <w:bookmarkEnd w:id="22"/>
    </w:p>
    <w:p>
      <w:pPr/>
      <w:r>
        <w:rPr/>
        <w:t xml:space="preserve">-</w:t>
      </w:r>
    </w:p>
    <w:p>
      <w:pPr>
        <w:pStyle w:val="Heading2"/>
      </w:pPr>
      <w:bookmarkStart w:id="23" w:name="_Toc23"/>
      <w:r>
        <w:t>Bijbehorende contractbepaling</w:t>
      </w:r>
      <w:bookmarkEnd w:id="23"/>
    </w:p>
    <w:p>
      <w:pPr/>
      <w:r>
        <w:rPr/>
        <w:t xml:space="preserve">-</w:t>
      </w:r>
    </w:p>
    <w:p>
      <w:pPr>
        <w:pStyle w:val="Heading2"/>
      </w:pPr>
      <w:bookmarkStart w:id="24" w:name="_Toc24"/>
      <w:r>
        <w:t>Toelichting voor inkopende organisatie</w:t>
      </w:r>
      <w:bookmarkEnd w:id="24"/>
    </w:p>
    <w:p>
      <w:pPr/>
      <w:r>
        <w:rPr/>
        <w:t xml:space="preserve">Richtlijnen van Design for Recycling zijn hier te vinden:  via link</w:t>
      </w:r>
    </w:p>
    <w:p>
      <w:pPr>
        <w:pStyle w:val="Heading2"/>
      </w:pPr>
      <w:bookmarkStart w:id="25" w:name="_Toc25"/>
      <w:r>
        <w:t>External links</w:t>
      </w:r>
      <w:bookmarkEnd w:id="25"/>
    </w:p>
    <w:p>
      <w:hyperlink r:id="rId8" w:history="1">
        <w:r>
          <w:t xml:space="preserve">https://recyclass.eu/protocols-guidelines/design-for-recycling-guidelines/</w:t>
        </w:r>
      </w:hyperlink>
    </w:p>
    <w:p>
      <w:pPr>
        <w:pStyle w:val="Heading2"/>
      </w:pPr>
      <w:bookmarkStart w:id="26" w:name="_Toc26"/>
      <w:r>
        <w:t>Bron</w:t>
      </w:r>
      <w:bookmarkEnd w:id="26"/>
    </w:p>
    <w:p>
      <w:pPr>
        <w:numPr>
          <w:ilvl w:val="0"/>
          <w:numId w:val="3"/>
        </w:numPr>
      </w:pPr>
      <w:r>
        <w:rPr/>
        <w:t xml:space="preserve">Zorg Inkoop Netwerk Nederland</w:t>
      </w:r>
    </w:p>
    <w:p/>
    <w:p>
      <w:pPr>
        <w:pStyle w:val="Heading1"/>
      </w:pPr>
      <w:bookmarkStart w:id="27" w:name="_Toc27"/>
      <w:r>
        <w:t>2.5 Retoursysteem verpakkingen</w:t>
      </w:r>
      <w:bookmarkEnd w:id="27"/>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28" w:name="_Toc28"/>
      <w:r>
        <w:t>Thema's</w:t>
      </w:r>
      <w:bookmarkEnd w:id="28"/>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29" w:name="_Toc29"/>
      <w:r>
        <w:t>Tekst</w:t>
      </w:r>
      <w:bookmarkEnd w:id="29"/>
    </w:p>
    <w:p>
      <w:pPr/>
      <w:r>
        <w:rPr/>
        <w:t xml:space="preserve">Inschrijver toont aan dat verpakkingen worden teruggenomen via een retoursysteem of eigen inzamelprogramma.</w:t>
      </w:r>
    </w:p>
    <w:p>
      <w:pPr>
        <w:pStyle w:val="Heading2"/>
      </w:pPr>
      <w:bookmarkStart w:id="30" w:name="_Toc30"/>
      <w:r>
        <w:t>Mogelijke bewijsmiddelen</w:t>
      </w:r>
      <w:bookmarkEnd w:id="30"/>
    </w:p>
    <w:p>
      <w:pPr/>
      <w:r>
        <w:rPr/>
        <w:t xml:space="preserve">-</w:t>
      </w:r>
    </w:p>
    <w:p>
      <w:pPr>
        <w:pStyle w:val="Heading2"/>
      </w:pPr>
      <w:bookmarkStart w:id="31" w:name="_Toc31"/>
      <w:r>
        <w:t>Wijze van beoordelen</w:t>
      </w:r>
      <w:bookmarkEnd w:id="31"/>
    </w:p>
    <w:p>
      <w:pPr/>
      <w:r>
        <w:rPr/>
        <w:t xml:space="preserve">-</w:t>
      </w:r>
    </w:p>
    <w:p>
      <w:pPr>
        <w:pStyle w:val="Heading2"/>
      </w:pPr>
      <w:bookmarkStart w:id="32" w:name="_Toc32"/>
      <w:r>
        <w:t>Bijbehorende contractbepaling</w:t>
      </w:r>
      <w:bookmarkEnd w:id="32"/>
    </w:p>
    <w:p>
      <w:pPr/>
      <w:r>
        <w:rPr/>
        <w:t xml:space="preserve">-</w:t>
      </w:r>
    </w:p>
    <w:p>
      <w:pPr>
        <w:pStyle w:val="Heading2"/>
      </w:pPr>
      <w:bookmarkStart w:id="33" w:name="_Toc33"/>
      <w:r>
        <w:t>Toelichting voor inkopende organisatie</w:t>
      </w:r>
      <w:bookmarkEnd w:id="33"/>
    </w:p>
    <w:p>
      <w:pPr/>
      <w:r>
        <w:rPr/>
        <w:t xml:space="preserve">-</w:t>
      </w:r>
    </w:p>
    <w:p>
      <w:pPr>
        <w:pStyle w:val="Heading2"/>
      </w:pPr>
      <w:bookmarkStart w:id="34" w:name="_Toc34"/>
      <w:r>
        <w:t>External links</w:t>
      </w:r>
      <w:bookmarkEnd w:id="34"/>
    </w:p>
    <w:p>
      <w:pPr>
        <w:pStyle w:val="Heading2"/>
      </w:pPr>
      <w:bookmarkStart w:id="35" w:name="_Toc35"/>
      <w:r>
        <w:t>Bron</w:t>
      </w:r>
      <w:bookmarkEnd w:id="35"/>
    </w:p>
    <w:p>
      <w:pPr>
        <w:numPr>
          <w:ilvl w:val="0"/>
          <w:numId w:val="3"/>
        </w:numPr>
      </w:pPr>
      <w:r>
        <w:rPr/>
        <w:t xml:space="preserve">Zorg Inkoop Netwerk Nederland</w:t>
      </w:r>
    </w:p>
    <w:p/>
    <w:p>
      <w:pPr>
        <w:pStyle w:val="Heading1"/>
      </w:pPr>
      <w:bookmarkStart w:id="36" w:name="_Toc36"/>
      <w:r>
        <w:t>2.6 Reductie verpakkingsgewicht</w:t>
      </w:r>
      <w:bookmarkEnd w:id="36"/>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37" w:name="_Toc37"/>
      <w:r>
        <w:t>Thema's</w:t>
      </w:r>
      <w:bookmarkEnd w:id="37"/>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38" w:name="_Toc38"/>
      <w:r>
        <w:t>Tekst</w:t>
      </w:r>
      <w:bookmarkEnd w:id="38"/>
    </w:p>
    <w:p>
      <w:pPr/>
      <w:r>
        <w:rPr/>
        <w:t xml:space="preserve">Het verpakkingsgewicht wordt zoveel mogelijk gereduceerd, zonder dat dit ten koste gaat van de verpakking.</w:t>
      </w:r>
    </w:p>
    <w:p>
      <w:pPr>
        <w:pStyle w:val="Heading2"/>
      </w:pPr>
      <w:bookmarkStart w:id="39" w:name="_Toc39"/>
      <w:r>
        <w:t>Mogelijke bewijsmiddelen</w:t>
      </w:r>
      <w:bookmarkEnd w:id="39"/>
    </w:p>
    <w:p>
      <w:pPr/>
      <w:r>
        <w:rPr/>
        <w:t xml:space="preserve">-</w:t>
      </w:r>
    </w:p>
    <w:p>
      <w:pPr>
        <w:pStyle w:val="Heading2"/>
      </w:pPr>
      <w:bookmarkStart w:id="40" w:name="_Toc40"/>
      <w:r>
        <w:t>Wijze van beoordelen</w:t>
      </w:r>
      <w:bookmarkEnd w:id="40"/>
    </w:p>
    <w:p>
      <w:pPr/>
      <w:r>
        <w:rPr/>
        <w:t xml:space="preserve">-</w:t>
      </w:r>
    </w:p>
    <w:p>
      <w:pPr>
        <w:pStyle w:val="Heading2"/>
      </w:pPr>
      <w:bookmarkStart w:id="41" w:name="_Toc41"/>
      <w:r>
        <w:t>Bijbehorende contractbepaling</w:t>
      </w:r>
      <w:bookmarkEnd w:id="41"/>
    </w:p>
    <w:p>
      <w:pPr/>
      <w:r>
        <w:rPr/>
        <w:t xml:space="preserve">-</w:t>
      </w:r>
    </w:p>
    <w:p>
      <w:pPr>
        <w:pStyle w:val="Heading2"/>
      </w:pPr>
      <w:bookmarkStart w:id="42" w:name="_Toc42"/>
      <w:r>
        <w:t>Toelichting voor inkopende organisatie</w:t>
      </w:r>
      <w:bookmarkEnd w:id="42"/>
    </w:p>
    <w:p>
      <w:pPr/>
      <w:r>
        <w:rPr/>
        <w:t xml:space="preserve">-</w:t>
      </w:r>
    </w:p>
    <w:p>
      <w:pPr>
        <w:pStyle w:val="Heading2"/>
      </w:pPr>
      <w:bookmarkStart w:id="43" w:name="_Toc43"/>
      <w:r>
        <w:t>External links</w:t>
      </w:r>
      <w:bookmarkEnd w:id="43"/>
    </w:p>
    <w:p>
      <w:pPr>
        <w:pStyle w:val="Heading2"/>
      </w:pPr>
      <w:bookmarkStart w:id="44" w:name="_Toc44"/>
      <w:r>
        <w:t>Bron</w:t>
      </w:r>
      <w:bookmarkEnd w:id="44"/>
    </w:p>
    <w:p>
      <w:pPr>
        <w:numPr>
          <w:ilvl w:val="0"/>
          <w:numId w:val="3"/>
        </w:numPr>
      </w:pPr>
      <w:r>
        <w:rPr/>
        <w:t xml:space="preserve">Zorg Inkoop Netwerk Nederland</w:t>
      </w:r>
    </w:p>
    <w:p/>
    <w:p>
      <w:pPr>
        <w:pStyle w:val="Heading1"/>
      </w:pPr>
      <w:bookmarkStart w:id="45" w:name="_Toc45"/>
      <w:r>
        <w:t>2.7 Recylebaar materiaal</w:t>
      </w:r>
      <w:bookmarkEnd w:id="45"/>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6" w:name="_Toc46"/>
      <w:r>
        <w:t>Thema's</w:t>
      </w:r>
      <w:bookmarkEnd w:id="46"/>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47" w:name="_Toc47"/>
      <w:r>
        <w:t>Tekst</w:t>
      </w:r>
      <w:bookmarkEnd w:id="47"/>
    </w:p>
    <w:p>
      <w:pPr/>
      <w:r>
        <w:rPr/>
        <w:t xml:space="preserve">De verpakking bestaan grotendeels bestaan uit materialen die recyclebaar zijn binnen het nationale sorteersysteem.</w:t>
      </w:r>
    </w:p>
    <w:p>
      <w:pPr>
        <w:pStyle w:val="Heading2"/>
      </w:pPr>
      <w:bookmarkStart w:id="48" w:name="_Toc48"/>
      <w:r>
        <w:t>Mogelijke bewijsmiddelen</w:t>
      </w:r>
      <w:bookmarkEnd w:id="48"/>
    </w:p>
    <w:p>
      <w:pPr/>
      <w:r>
        <w:rPr/>
        <w:t xml:space="preserve">technische datasheets, verklaringen of certificaten.</w:t>
      </w:r>
    </w:p>
    <w:p>
      <w:pPr>
        <w:pStyle w:val="Heading2"/>
      </w:pPr>
      <w:bookmarkStart w:id="49" w:name="_Toc49"/>
      <w:r>
        <w:t>Wijze van beoordelen</w:t>
      </w:r>
      <w:bookmarkEnd w:id="49"/>
    </w:p>
    <w:p>
      <w:pPr/>
      <w:r>
        <w:rPr/>
        <w:t xml:space="preserve">Beoordeling:&amp;nbsp;Geen sorteersysteem of 0–1% recyclebaar: 0 punten 1–33% recyclebaar: 1 punt 33–66% recyclebaar: 3 punten 66–100% recyclebaar: 5 punten</w:t>
      </w:r>
    </w:p>
    <w:p>
      <w:pPr>
        <w:pStyle w:val="Heading2"/>
      </w:pPr>
      <w:bookmarkStart w:id="50" w:name="_Toc50"/>
      <w:r>
        <w:t>Bijbehorende contractbepaling</w:t>
      </w:r>
      <w:bookmarkEnd w:id="50"/>
    </w:p>
    <w:p>
      <w:pPr/>
      <w:r>
        <w:rPr/>
        <w:t xml:space="preserve">-</w:t>
      </w:r>
    </w:p>
    <w:p>
      <w:pPr>
        <w:pStyle w:val="Heading2"/>
      </w:pPr>
      <w:bookmarkStart w:id="51" w:name="_Toc51"/>
      <w:r>
        <w:t>Toelichting voor inkopende organisatie</w:t>
      </w:r>
      <w:bookmarkEnd w:id="51"/>
    </w:p>
    <w:p>
      <w:pPr/>
      <w:r>
        <w:rPr/>
        <w:t xml:space="preserve">-</w:t>
      </w:r>
    </w:p>
    <w:p>
      <w:pPr>
        <w:pStyle w:val="Heading2"/>
      </w:pPr>
      <w:bookmarkStart w:id="52" w:name="_Toc52"/>
      <w:r>
        <w:t>External links</w:t>
      </w:r>
      <w:bookmarkEnd w:id="52"/>
    </w:p>
    <w:p>
      <w:pPr>
        <w:pStyle w:val="Heading2"/>
      </w:pPr>
      <w:bookmarkStart w:id="53" w:name="_Toc53"/>
      <w:r>
        <w:t>Bron</w:t>
      </w:r>
      <w:bookmarkEnd w:id="53"/>
    </w:p>
    <w:p>
      <w:pPr>
        <w:numPr>
          <w:ilvl w:val="0"/>
          <w:numId w:val="3"/>
        </w:numPr>
      </w:pPr>
      <w:r>
        <w:rPr/>
        <w:t xml:space="preserve">Resah/Anfor</w:t>
      </w:r>
    </w:p>
    <w:p/>
    <w:p>
      <w:pPr>
        <w:pStyle w:val="Heading1"/>
      </w:pPr>
      <w:bookmarkStart w:id="54" w:name="_Toc54"/>
      <w:r>
        <w:t>2.8 Zo min mogelijk verpakkingsmateriaal</w:t>
      </w:r>
      <w:bookmarkEnd w:id="54"/>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55" w:name="_Toc55"/>
      <w:r>
        <w:t>Thema's</w:t>
      </w:r>
      <w:bookmarkEnd w:id="55"/>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65.02.06.00 - Spuiten,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6" w:name="_Toc56"/>
      <w:r>
        <w:t>Tekst</w:t>
      </w:r>
      <w:bookmarkEnd w:id="56"/>
    </w:p>
    <w:p>
      <w:pPr/>
      <w:r>
        <w:rPr/>
        <w:t xml:space="preserve">Inschrijver houdt rekening met de interne afvalverwerking van de inkopende partij door zo min mogelijk verpakkingsmateriaal te gebruiken. Overbodige omverpakkingen (zoals extra dozen en plastic) en vulmateriaal worden vermeden. De hoeveelheid verpakking wordt beperkt, waardoor het verpakkingsgewicht afneemt.
Het weglaten van omverpakkingen heeft geen nadelige invloed op de kwaliteit van de levering.</w:t>
      </w:r>
    </w:p>
    <w:p>
      <w:pPr>
        <w:pStyle w:val="Heading2"/>
      </w:pPr>
      <w:bookmarkStart w:id="57" w:name="_Toc57"/>
      <w:r>
        <w:t>Mogelijke bewijsmiddelen</w:t>
      </w:r>
      <w:bookmarkEnd w:id="57"/>
    </w:p>
    <w:p>
      <w:pPr/>
      <w:r>
        <w:rPr/>
        <w:t xml:space="preserve">-</w:t>
      </w:r>
    </w:p>
    <w:p>
      <w:pPr>
        <w:pStyle w:val="Heading2"/>
      </w:pPr>
      <w:bookmarkStart w:id="58" w:name="_Toc58"/>
      <w:r>
        <w:t>Wijze van beoordelen</w:t>
      </w:r>
      <w:bookmarkEnd w:id="58"/>
    </w:p>
    <w:p>
      <w:pPr/>
      <w:r>
        <w:rPr/>
        <w:t xml:space="preserve">-</w:t>
      </w:r>
    </w:p>
    <w:p>
      <w:pPr>
        <w:pStyle w:val="Heading2"/>
      </w:pPr>
      <w:bookmarkStart w:id="59" w:name="_Toc59"/>
      <w:r>
        <w:t>Bijbehorende contractbepaling</w:t>
      </w:r>
      <w:bookmarkEnd w:id="59"/>
    </w:p>
    <w:p>
      <w:pPr/>
      <w:r>
        <w:rPr/>
        <w:t xml:space="preserve">-</w:t>
      </w:r>
    </w:p>
    <w:p>
      <w:pPr>
        <w:pStyle w:val="Heading2"/>
      </w:pPr>
      <w:bookmarkStart w:id="60" w:name="_Toc60"/>
      <w:r>
        <w:t>Toelichting voor inkopende organisatie</w:t>
      </w:r>
      <w:bookmarkEnd w:id="60"/>
    </w:p>
    <w:p>
      <w:pPr/>
      <w:r>
        <w:rPr/>
        <w:t xml:space="preserve">Voor het productgroepen spuit zonder naald, zuurstofsensoren, babyflesjes is aanvullende informatie terug te vinden op de Groene Z: zie link</w:t>
      </w:r>
    </w:p>
    <w:p>
      <w:pPr>
        <w:pStyle w:val="Heading2"/>
      </w:pPr>
      <w:bookmarkStart w:id="61" w:name="_Toc61"/>
      <w:r>
        <w:t>External links</w:t>
      </w:r>
      <w:bookmarkEnd w:id="61"/>
    </w:p>
    <w:p>
      <w:hyperlink r:id="rId10" w:history="1">
        <w:r>
          <w:t xml:space="preserve">https://www.degroenez.org/productgroepen/spuit-zonder-naald</w:t>
        </w:r>
      </w:hyperlink>
    </w:p>
    <w:p>
      <w:hyperlink r:id="rId11" w:history="1">
        <w:r>
          <w:t xml:space="preserve">https://www.degroenez.org/productgroepen/zuurstofsensor/wegwerp#section-sustainable-use</w:t>
        </w:r>
      </w:hyperlink>
    </w:p>
    <w:p>
      <w:hyperlink r:id="rId12" w:history="1">
        <w:r>
          <w:t xml:space="preserve">https://www.degroenez.org/productgroepen/babyfles</w:t>
        </w:r>
      </w:hyperlink>
    </w:p>
    <w:p>
      <w:pPr>
        <w:pStyle w:val="Heading2"/>
      </w:pPr>
      <w:bookmarkStart w:id="62" w:name="_Toc62"/>
      <w:r>
        <w:t>Bron</w:t>
      </w:r>
      <w:bookmarkEnd w:id="62"/>
    </w:p>
    <w:p>
      <w:pPr>
        <w:numPr>
          <w:ilvl w:val="0"/>
          <w:numId w:val="3"/>
        </w:numPr>
      </w:pPr>
      <w:r>
        <w:rPr/>
        <w:t xml:space="preserve">UMC Utrecht</w:t>
      </w:r>
    </w:p>
    <w:p/>
    <w:p>
      <w:pPr>
        <w:pStyle w:val="Heading1"/>
      </w:pPr>
      <w:bookmarkStart w:id="63" w:name="_Toc63"/>
      <w:r>
        <w:t>2.9 Geen schadelijke stoffen</w:t>
      </w:r>
      <w:bookmarkEnd w:id="63"/>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64" w:name="_Toc64"/>
      <w:r>
        <w:t>Thema's</w:t>
      </w:r>
      <w:bookmarkEnd w:id="64"/>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65.02.06.00 - Spuiten,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65" w:name="_Toc65"/>
      <w:r>
        <w:t>Tekst</w:t>
      </w:r>
      <w:bookmarkEnd w:id="65"/>
    </w:p>
    <w:p>
      <w:pPr/>
      <w:r>
        <w:rPr/>
        <w:t xml:space="preserve">Verpakkingen, drukinkten en kleurstoffen bevatten geen toxische of milieuschadelijke stoffen, zoals zware metalen, aluminium of pvc.</w:t>
      </w:r>
    </w:p>
    <w:p>
      <w:pPr>
        <w:pStyle w:val="Heading2"/>
      </w:pPr>
      <w:bookmarkStart w:id="66" w:name="_Toc66"/>
      <w:r>
        <w:t>Mogelijke bewijsmiddelen</w:t>
      </w:r>
      <w:bookmarkEnd w:id="66"/>
    </w:p>
    <w:p>
      <w:pPr/>
      <w:r>
        <w:rPr/>
        <w:t xml:space="preserve">Op verzoek kan de Opdrachtgever de Inschrijver vragen om bewijslast waaruit blijkt dat aan dit criterium is voldaan.</w:t>
      </w:r>
    </w:p>
    <w:p>
      <w:pPr>
        <w:pStyle w:val="Heading2"/>
      </w:pPr>
      <w:bookmarkStart w:id="67" w:name="_Toc67"/>
      <w:r>
        <w:t>Wijze van beoordelen</w:t>
      </w:r>
      <w:bookmarkEnd w:id="67"/>
    </w:p>
    <w:p>
      <w:pPr/>
      <w:r>
        <w:rPr/>
        <w:t xml:space="preserve">-</w:t>
      </w:r>
    </w:p>
    <w:p>
      <w:pPr>
        <w:pStyle w:val="Heading2"/>
      </w:pPr>
      <w:bookmarkStart w:id="68" w:name="_Toc68"/>
      <w:r>
        <w:t>Bijbehorende contractbepaling</w:t>
      </w:r>
      <w:bookmarkEnd w:id="68"/>
    </w:p>
    <w:p>
      <w:pPr/>
      <w:r>
        <w:rPr/>
        <w:t xml:space="preserve">-</w:t>
      </w:r>
    </w:p>
    <w:p>
      <w:pPr>
        <w:pStyle w:val="Heading2"/>
      </w:pPr>
      <w:bookmarkStart w:id="69" w:name="_Toc69"/>
      <w:r>
        <w:t>Toelichting voor inkopende organisatie</w:t>
      </w:r>
      <w:bookmarkEnd w:id="69"/>
    </w:p>
    <w:p>
      <w:pPr/>
      <w:r>
        <w:rPr/>
        <w:t xml:space="preserve">Op verzoek kan de Opdrachtgever de Inschrijver vragen om bewijslast waaruit blijkt dat hij aan dit criterium voldoet.&amp;nbsp;Toxische stoffen zijn chemische stoffen die bij inname, inademing of huidcontact schade veroorzaken aan dieren, planten en mensen. Milieuschadelijke stoffen zijn stoffen die na lozing in water, bodem of lucht ecosystemen kunnen beschadigen. Zware metalen zijn een groep metalen (zoals lood, cadmium, kwik en chroom) met een hoge dichtheid die giftig kunnen zijn en zich kunnen ophopen in het milieu of in levende wezens.&amp;nbsp;Voor het product spuit zonder naald, zuurstofsensoren, babyflesjes is aanvullende informatie terug te vinden op de Groene Z: zie link</w:t>
      </w:r>
    </w:p>
    <w:p>
      <w:pPr>
        <w:pStyle w:val="Heading2"/>
      </w:pPr>
      <w:bookmarkStart w:id="70" w:name="_Toc70"/>
      <w:r>
        <w:t>External links</w:t>
      </w:r>
      <w:bookmarkEnd w:id="70"/>
    </w:p>
    <w:p>
      <w:hyperlink r:id="rId10" w:history="1">
        <w:r>
          <w:t xml:space="preserve">https://www.degroenez.org/productgroepen/spuit-zonder-naald</w:t>
        </w:r>
      </w:hyperlink>
    </w:p>
    <w:p>
      <w:hyperlink r:id="rId11" w:history="1">
        <w:r>
          <w:t xml:space="preserve">https://www.degroenez.org/productgroepen/zuurstofsensor/wegwerp#section-sustainable-use</w:t>
        </w:r>
      </w:hyperlink>
    </w:p>
    <w:p>
      <w:hyperlink r:id="rId12" w:history="1">
        <w:r>
          <w:t xml:space="preserve">https://www.degroenez.org/productgroepen/babyfles</w:t>
        </w:r>
      </w:hyperlink>
    </w:p>
    <w:p>
      <w:pPr>
        <w:pStyle w:val="Heading2"/>
      </w:pPr>
      <w:bookmarkStart w:id="71" w:name="_Toc71"/>
      <w:r>
        <w:t>Bron</w:t>
      </w:r>
      <w:bookmarkEnd w:id="71"/>
    </w:p>
    <w:p>
      <w:pPr>
        <w:numPr>
          <w:ilvl w:val="0"/>
          <w:numId w:val="3"/>
        </w:numPr>
      </w:pPr>
      <w:r>
        <w:rPr/>
        <w:t xml:space="preserve">UMC Utrecht</w:t>
      </w:r>
    </w:p>
    <w:p/>
    <w:p>
      <w:pPr>
        <w:pStyle w:val="Heading1"/>
      </w:pPr>
      <w:bookmarkStart w:id="72" w:name="_Toc72"/>
      <w:r>
        <w:t>3.1 Overleg verlaging CO2 uitstoot</w:t>
      </w:r>
      <w:bookmarkEnd w:id="72"/>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73" w:name="_Toc73"/>
      <w:r>
        <w:t>Thema's</w:t>
      </w:r>
      <w:bookmarkEnd w:id="73"/>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65.00.00.00 - Disposables</w:t>
      </w:r>
    </w:p>
    <w:p>
      <w:pPr>
        <w:pStyle w:val="Heading2"/>
      </w:pPr>
      <w:bookmarkStart w:id="74" w:name="_Toc74"/>
      <w:r>
        <w:t>Tekst</w:t>
      </w:r>
      <w:bookmarkEnd w:id="74"/>
    </w:p>
    <w:p>
      <w:pPr/>
      <w:r>
        <w:rPr/>
        <w:t xml:space="preserve">Periodiek vindt er een overleg plaats tussen Inschrijver en Opdrachtgever over het structureel verlagen van de CO2-uitstoot. Op basis van dit overleg levert Inschrijver een actieplan aan met doelstellingen die bijdragen aan het verminderen van de uitstoot. Het actieplan is in lijn met de doelen van de zorginstelling of met de Green Deal Duurzame Zorg.</w:t>
      </w:r>
    </w:p>
    <w:p>
      <w:pPr>
        <w:pStyle w:val="Heading2"/>
      </w:pPr>
      <w:bookmarkStart w:id="75" w:name="_Toc75"/>
      <w:r>
        <w:t>Mogelijke bewijsmiddelen</w:t>
      </w:r>
      <w:bookmarkEnd w:id="75"/>
    </w:p>
    <w:p>
      <w:pPr/>
      <w:r>
        <w:rPr/>
        <w:t xml:space="preserve">-</w:t>
      </w:r>
    </w:p>
    <w:p>
      <w:pPr>
        <w:pStyle w:val="Heading2"/>
      </w:pPr>
      <w:bookmarkStart w:id="76" w:name="_Toc76"/>
      <w:r>
        <w:t>Wijze van beoordelen</w:t>
      </w:r>
      <w:bookmarkEnd w:id="76"/>
    </w:p>
    <w:p>
      <w:pPr/>
      <w:r>
        <w:rPr/>
        <w:t xml:space="preserve">-</w:t>
      </w:r>
    </w:p>
    <w:p>
      <w:pPr>
        <w:pStyle w:val="Heading2"/>
      </w:pPr>
      <w:bookmarkStart w:id="77" w:name="_Toc77"/>
      <w:r>
        <w:t>Bijbehorende contractbepaling</w:t>
      </w:r>
      <w:bookmarkEnd w:id="77"/>
    </w:p>
    <w:p>
      <w:pPr/>
      <w:r>
        <w:rPr/>
        <w:t xml:space="preserve">Periodiek overleg tussen Inschrijver en Opdrachtgever over CO2-reductie.</w:t>
      </w:r>
    </w:p>
    <w:p>
      <w:pPr>
        <w:pStyle w:val="Heading2"/>
      </w:pPr>
      <w:bookmarkStart w:id="78" w:name="_Toc78"/>
      <w:r>
        <w:t>Toelichting voor inkopende organisatie</w:t>
      </w:r>
      <w:bookmarkEnd w:id="78"/>
    </w:p>
    <w:p>
      <w:pPr/>
      <w:r>
        <w:rPr/>
        <w:t xml:space="preserve">Inkoper, let op:
Alleen van toepassing bij een meerjarige contractrelatie.</w:t>
      </w:r>
    </w:p>
    <w:p>
      <w:pPr>
        <w:pStyle w:val="Heading2"/>
      </w:pPr>
      <w:bookmarkStart w:id="79" w:name="_Toc79"/>
      <w:r>
        <w:t>External links</w:t>
      </w:r>
      <w:bookmarkEnd w:id="79"/>
    </w:p>
    <w:p>
      <w:pPr>
        <w:pStyle w:val="Heading2"/>
      </w:pPr>
      <w:bookmarkStart w:id="80" w:name="_Toc80"/>
      <w:r>
        <w:t>Bron</w:t>
      </w:r>
      <w:bookmarkEnd w:id="80"/>
    </w:p>
    <w:p>
      <w:pPr>
        <w:numPr>
          <w:ilvl w:val="0"/>
          <w:numId w:val="3"/>
        </w:numPr>
      </w:pPr>
      <w:r>
        <w:rPr/>
        <w:t xml:space="preserve">UMC Utrecht</w:t>
      </w:r>
    </w:p>
    <w:p/>
    <w:p>
      <w:pPr>
        <w:pStyle w:val="Heading1"/>
      </w:pPr>
      <w:bookmarkStart w:id="81" w:name="_Toc81"/>
      <w:r>
        <w:t>3.10 Scheidbaarheid van onderdelen</w:t>
      </w:r>
      <w:bookmarkEnd w:id="81"/>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82" w:name="_Toc82"/>
      <w:r>
        <w:t>Thema's</w:t>
      </w:r>
      <w:bookmarkEnd w:id="82"/>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83" w:name="_Toc83"/>
      <w:r>
        <w:t>Tekst</w:t>
      </w:r>
      <w:bookmarkEnd w:id="83"/>
    </w:p>
    <w:p>
      <w:pPr/>
      <w:r>
        <w:rPr/>
        <w:t xml:space="preserve">Hulpmiddelen die zijn ontworpen met het oog op materiaalscheiding om recycling mogelijk te maken worden hoger gewaardeerd.</w:t>
      </w:r>
    </w:p>
    <w:p>
      <w:pPr>
        <w:pStyle w:val="Heading2"/>
      </w:pPr>
      <w:bookmarkStart w:id="84" w:name="_Toc84"/>
      <w:r>
        <w:t>Mogelijke bewijsmiddelen</w:t>
      </w:r>
      <w:bookmarkEnd w:id="84"/>
    </w:p>
    <w:p>
      <w:pPr/>
      <w:r>
        <w:rPr/>
        <w:t xml:space="preserve">-</w:t>
      </w:r>
    </w:p>
    <w:p>
      <w:pPr>
        <w:pStyle w:val="Heading2"/>
      </w:pPr>
      <w:bookmarkStart w:id="85" w:name="_Toc85"/>
      <w:r>
        <w:t>Wijze van beoordelen</w:t>
      </w:r>
      <w:bookmarkEnd w:id="85"/>
    </w:p>
    <w:p>
      <w:pPr/>
      <w:r>
        <w:rPr/>
        <w:t xml:space="preserve">Beoordeling:
Hulpmiddel bestaat uit één materiaal: 5 punten
Meerdere materialen, met gecertificeerde scheidingsprocedure: 2 punten
Extra punt indien scheidingsprocedure is meegeleverd: +1 punt
Meerdere materialen, niet scheidbaar: 0 punten</w:t>
      </w:r>
    </w:p>
    <w:p>
      <w:pPr>
        <w:pStyle w:val="Heading2"/>
      </w:pPr>
      <w:bookmarkStart w:id="86" w:name="_Toc86"/>
      <w:r>
        <w:t>Bijbehorende contractbepaling</w:t>
      </w:r>
      <w:bookmarkEnd w:id="86"/>
    </w:p>
    <w:p>
      <w:pPr/>
      <w:r>
        <w:rPr/>
        <w:t xml:space="preserve">-</w:t>
      </w:r>
    </w:p>
    <w:p>
      <w:pPr>
        <w:pStyle w:val="Heading2"/>
      </w:pPr>
      <w:bookmarkStart w:id="87" w:name="_Toc87"/>
      <w:r>
        <w:t>Toelichting voor inkopende organisatie</w:t>
      </w:r>
      <w:bookmarkEnd w:id="87"/>
    </w:p>
    <w:p>
      <w:pPr/>
      <w:r>
        <w:rPr/>
        <w:t xml:space="preserve">Scheidbare producten zijn duurzamer omdat hun onderdelen/grondstoffen eenvoudig uit elkaar gehaald kunnen worden, waardoor materialen of grondstoffen beter te recyclen zijn, onderdelen makkelijker kunnen worden gerepareerd of vervangen en producten daardoor langer meegaan. Dit vermindert afval, verlaagt de vraag naar nieuwe grondstoffen en maakt circulaire processen zoals refurbishen en hergebruik mogelijk — allemaal stappen die de milieu‑impact aanzienlijk verkleinen.</w:t>
      </w:r>
    </w:p>
    <w:p>
      <w:pPr>
        <w:pStyle w:val="Heading2"/>
      </w:pPr>
      <w:bookmarkStart w:id="88" w:name="_Toc88"/>
      <w:r>
        <w:t>External links</w:t>
      </w:r>
      <w:bookmarkEnd w:id="88"/>
    </w:p>
    <w:p>
      <w:pPr>
        <w:pStyle w:val="Heading2"/>
      </w:pPr>
      <w:bookmarkStart w:id="89" w:name="_Toc89"/>
      <w:r>
        <w:t>Bron</w:t>
      </w:r>
      <w:bookmarkEnd w:id="89"/>
    </w:p>
    <w:p>
      <w:pPr>
        <w:numPr>
          <w:ilvl w:val="0"/>
          <w:numId w:val="3"/>
        </w:numPr>
      </w:pPr>
      <w:r>
        <w:rPr/>
        <w:t xml:space="preserve">Resah/Anfor</w:t>
      </w:r>
    </w:p>
    <w:p/>
    <w:p>
      <w:pPr>
        <w:pStyle w:val="Heading1"/>
      </w:pPr>
      <w:bookmarkStart w:id="90" w:name="_Toc90"/>
      <w:r>
        <w:t>3.11 Hoog percentage circulair materiaal wordt hoger gewaardeerd</w:t>
      </w:r>
      <w:bookmarkEnd w:id="90"/>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91" w:name="_Toc91"/>
      <w:r>
        <w:t>Thema's</w:t>
      </w:r>
      <w:bookmarkEnd w:id="91"/>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65.79.01.01 - Isolatiejas, 65.02.07.02 - Toedieningssysteem tbv insuline, 65.02.07.05 - Toedieningssysteem tbv continue infiltratie analgesie, 65.02.07.06 - Toedieningssysteem tbv ogen, 65.02.07.09 - Toedieningssysteem surfactant, 65.02.07.10 - Toedieningssysteem tbv spuitenpomp, 65.02.07.14 - Toedieningssysteem tbv medicatiepomp, 65.02.07.16 - Toedieningssysteem cytostatica, 65.02.07.17 - Toedieningssysteem tbv radioactief materiaal, 65.02.07.18 - Toedieningssysteem tbv gastro-intestinale vloeistoffen, 65.02.08.01 - Toedieningssysteem high flow, 65.02.09.02 - Toedieningssysteem sondevoeding, 65.09.04.21 - Isolatiekleding</w:t>
      </w:r>
    </w:p>
    <w:p>
      <w:pPr>
        <w:pStyle w:val="Heading2"/>
      </w:pPr>
      <w:bookmarkStart w:id="92" w:name="_Toc92"/>
      <w:r>
        <w:t>Tekst</w:t>
      </w:r>
      <w:bookmarkEnd w:id="92"/>
    </w:p>
    <w:p>
      <w:pPr/>
      <w:r>
        <w:rPr/>
        <w:t xml:space="preserve">Inschrijver laat zien hoeveel procent (%) van het totaalgewicht (massapercentage) circulair materiaal is, dat wil zeggen: gerecycled, geherfabriceerd, gerepareerd of hergebruikt materiaal. De Inschrijver vermeldt de hoeveelheid circulair materiaal en registreert deze accuraat in een ketenbeheersysteem.</w:t>
      </w:r>
    </w:p>
    <w:p>
      <w:pPr>
        <w:pStyle w:val="Heading2"/>
      </w:pPr>
      <w:bookmarkStart w:id="93" w:name="_Toc93"/>
      <w:r>
        <w:t>Mogelijke bewijsmiddelen</w:t>
      </w:r>
      <w:bookmarkEnd w:id="93"/>
    </w:p>
    <w:p>
      <w:pPr/>
      <w:r>
        <w:rPr/>
        <w:t xml:space="preserve">-</w:t>
      </w:r>
    </w:p>
    <w:p>
      <w:pPr>
        <w:pStyle w:val="Heading2"/>
      </w:pPr>
      <w:bookmarkStart w:id="94" w:name="_Toc94"/>
      <w:r>
        <w:t>Wijze van beoordelen</w:t>
      </w:r>
      <w:bookmarkEnd w:id="94"/>
    </w:p>
    <w:p>
      <w:pPr/>
      <w:r>
        <w:rPr/>
        <w:t xml:space="preserve">Dit deel van de inschrijving wordt hoger gewaardeerd bij een hoog percentage circulair materiaal in product(en).</w:t>
      </w:r>
    </w:p>
    <w:p>
      <w:pPr>
        <w:pStyle w:val="Heading2"/>
      </w:pPr>
      <w:bookmarkStart w:id="95" w:name="_Toc95"/>
      <w:r>
        <w:t>Bijbehorende contractbepaling</w:t>
      </w:r>
      <w:bookmarkEnd w:id="95"/>
    </w:p>
    <w:p>
      <w:pPr/>
      <w:r>
        <w:rPr/>
        <w:t xml:space="preserve">-</w:t>
      </w:r>
    </w:p>
    <w:p>
      <w:pPr>
        <w:pStyle w:val="Heading2"/>
      </w:pPr>
      <w:bookmarkStart w:id="96" w:name="_Toc96"/>
      <w:r>
        <w:t>Toelichting voor inkopende organisatie</w:t>
      </w:r>
      <w:bookmarkEnd w:id="96"/>
    </w:p>
    <w:p>
      <w:pPr/>
      <w:r>
        <w:rPr/>
        <w:t xml:space="preserve">Het aandeel gerecycled of hergebruikt materiaal is verifieerbaar volgens de principes van de algemene eisen ‘recycled content’ in NEN-EN-ISO 14021 Milieu-etiketteringen en -verklaringen - Zelfvastgestelde milieu-uitspraken (Type II milieu-etikettering)
Als je dit gunningscriterium gebruikt, moet je onderstaande geschiktheidseis toepassen:
“Er is een ketenbeheersysteem voor circulair materiaal. De leverancier kan informatie overleggen met betrekking tot het ketenbeheersysteem van de organisatie, waarin tenminste de hoeveelheid circulair materiaal wordt bijgehouden. Dit systeem voldoet aan de eisen van NEN-ISO 22095 Chain of custody - Terminologie en handelsmodellen, of een gelijkwaardig systeem.”
Aanvullende informatie voor het inkopen van Isolatiejassen (65.79.01.01) is terug te vinden op de Groene Z: zie link
Aanvullende informatie voor het inkopen van toedieningssystemen (65.02.07.X) is terug te vinden op: zie link</w:t>
      </w:r>
    </w:p>
    <w:p>
      <w:pPr>
        <w:pStyle w:val="Heading2"/>
      </w:pPr>
      <w:bookmarkStart w:id="97" w:name="_Toc97"/>
      <w:r>
        <w:t>External links</w:t>
      </w:r>
      <w:bookmarkEnd w:id="97"/>
    </w:p>
    <w:p>
      <w:hyperlink r:id="rId13" w:history="1">
        <w:r>
          <w:t xml:space="preserve">https://www.nen.nl/nen-en-iso-14021-2001-en-61462</w:t>
        </w:r>
      </w:hyperlink>
    </w:p>
    <w:p>
      <w:hyperlink r:id="rId14" w:history="1">
        <w:r>
          <w:t xml:space="preserve">https://www.nen.nl/iso-dis-22095-2019-en-7183979</w:t>
        </w:r>
      </w:hyperlink>
    </w:p>
    <w:p>
      <w:hyperlink r:id="rId15" w:history="1">
        <w:r>
          <w:t xml:space="preserve">https://www.degroenez.org/productgroepen/isolatiejas-lange-mouw/wegwerp#section-sustainable-use</w:t>
        </w:r>
      </w:hyperlink>
    </w:p>
    <w:p>
      <w:hyperlink r:id="rId16" w:history="1">
        <w:r>
          <w:t xml:space="preserve">https://www.degroenez.org/productgroepen/infuus-toedieningssysteem/herbruikbaar#section-sustainable-use</w:t>
        </w:r>
      </w:hyperlink>
    </w:p>
    <w:p>
      <w:pPr>
        <w:pStyle w:val="Heading2"/>
      </w:pPr>
      <w:bookmarkStart w:id="98" w:name="_Toc98"/>
      <w:r>
        <w:t>Bron</w:t>
      </w:r>
      <w:bookmarkEnd w:id="98"/>
    </w:p>
    <w:p>
      <w:pPr>
        <w:numPr>
          <w:ilvl w:val="0"/>
          <w:numId w:val="3"/>
        </w:numPr>
      </w:pPr>
      <w:r>
        <w:rPr/>
        <w:t xml:space="preserve">MVI criteria tool</w:t>
      </w:r>
    </w:p>
    <w:p/>
    <w:p>
      <w:pPr>
        <w:pStyle w:val="Heading1"/>
      </w:pPr>
      <w:bookmarkStart w:id="99" w:name="_Toc99"/>
      <w:r>
        <w:t>3.13 Materiaalreductie en recyclebare producten worden hoger gewaardeed</w:t>
      </w:r>
      <w:bookmarkEnd w:id="99"/>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100" w:name="_Toc100"/>
      <w:r>
        <w:t>Thema's</w:t>
      </w:r>
      <w:bookmarkEnd w:id="100"/>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65.02.06.00 - Spuiten</w:t>
      </w:r>
    </w:p>
    <w:p>
      <w:pPr>
        <w:pStyle w:val="Heading2"/>
      </w:pPr>
      <w:bookmarkStart w:id="101" w:name="_Toc101"/>
      <w:r>
        <w:t>Tekst</w:t>
      </w:r>
      <w:bookmarkEnd w:id="101"/>
    </w:p>
    <w:p>
      <w:pPr/>
      <w:r>
        <w:rPr/>
        <w:t xml:space="preserve">Materiaalreductie of recyclebare medische disposables (naam productgroep invoeren) krijgen een hogere waardering. Medische disposables gemaakt van kunststoftypen PE (polyethyleen) of PP (polypropyleen) zijn beter recyclebaar en krijgen daarom een hogere waardering.</w:t>
      </w:r>
    </w:p>
    <w:p>
      <w:pPr>
        <w:pStyle w:val="Heading2"/>
      </w:pPr>
      <w:bookmarkStart w:id="102" w:name="_Toc102"/>
      <w:r>
        <w:t>Mogelijke bewijsmiddelen</w:t>
      </w:r>
      <w:bookmarkEnd w:id="102"/>
    </w:p>
    <w:p>
      <w:pPr/>
      <w:r>
        <w:rPr/>
        <w:t xml:space="preserve">-</w:t>
      </w:r>
    </w:p>
    <w:p>
      <w:pPr>
        <w:pStyle w:val="Heading2"/>
      </w:pPr>
      <w:bookmarkStart w:id="103" w:name="_Toc103"/>
      <w:r>
        <w:t>Wijze van beoordelen</w:t>
      </w:r>
      <w:bookmarkEnd w:id="103"/>
    </w:p>
    <w:p>
      <w:pPr/>
      <w:r>
        <w:rPr/>
        <w:t xml:space="preserve">-</w:t>
      </w:r>
    </w:p>
    <w:p>
      <w:pPr>
        <w:pStyle w:val="Heading2"/>
      </w:pPr>
      <w:bookmarkStart w:id="104" w:name="_Toc104"/>
      <w:r>
        <w:t>Bijbehorende contractbepaling</w:t>
      </w:r>
      <w:bookmarkEnd w:id="104"/>
    </w:p>
    <w:p>
      <w:pPr/>
      <w:r>
        <w:rPr/>
        <w:t xml:space="preserve">-</w:t>
      </w:r>
    </w:p>
    <w:p>
      <w:pPr>
        <w:pStyle w:val="Heading2"/>
      </w:pPr>
      <w:bookmarkStart w:id="105" w:name="_Toc105"/>
      <w:r>
        <w:t>Toelichting voor inkopende organisatie</w:t>
      </w:r>
      <w:bookmarkEnd w:id="105"/>
    </w:p>
    <w:p>
      <w:pPr/>
      <w:r>
        <w:rPr/>
        <w:t xml:space="preserve">Een verder toelichting is terug te vinden op De Groene Z: zie link</w:t>
      </w:r>
    </w:p>
    <w:p>
      <w:pPr>
        <w:pStyle w:val="Heading2"/>
      </w:pPr>
      <w:bookmarkStart w:id="106" w:name="_Toc106"/>
      <w:r>
        <w:t>External links</w:t>
      </w:r>
      <w:bookmarkEnd w:id="106"/>
    </w:p>
    <w:p>
      <w:hyperlink r:id="rId10" w:history="1">
        <w:r>
          <w:t xml:space="preserve">https://www.degroenez.org/productgroepen/spuit-zonder-naald</w:t>
        </w:r>
      </w:hyperlink>
    </w:p>
    <w:p>
      <w:hyperlink r:id="rId17" w:history="1">
        <w:r>
          <w:t xml:space="preserve">https://www.degroenez.org/productgroepen/naaldencontainer/wegwerp#section-sustainable-use</w:t>
        </w:r>
      </w:hyperlink>
    </w:p>
    <w:p>
      <w:pPr>
        <w:pStyle w:val="Heading2"/>
      </w:pPr>
      <w:bookmarkStart w:id="107" w:name="_Toc107"/>
      <w:r>
        <w:t>Bron</w:t>
      </w:r>
      <w:bookmarkEnd w:id="107"/>
    </w:p>
    <w:p>
      <w:pPr>
        <w:numPr>
          <w:ilvl w:val="0"/>
          <w:numId w:val="3"/>
        </w:numPr>
      </w:pPr>
      <w:r>
        <w:rPr/>
        <w:t xml:space="preserve">Zorg Inkoop Netwerk Nederland</w:t>
      </w:r>
    </w:p>
    <w:p/>
    <w:p>
      <w:pPr>
        <w:pStyle w:val="Heading1"/>
      </w:pPr>
      <w:bookmarkStart w:id="108" w:name="_Toc108"/>
      <w:r>
        <w:t>3.14 Take-backprogramma voor kunststof wordt hoger gewaardeerd</w:t>
      </w:r>
      <w:bookmarkEnd w:id="108"/>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109" w:name="_Toc109"/>
      <w:r>
        <w:t>Thema's</w:t>
      </w:r>
      <w:bookmarkEnd w:id="109"/>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65.02.06.00 - Spuiten</w:t>
      </w:r>
    </w:p>
    <w:p>
      <w:pPr>
        <w:pStyle w:val="Heading2"/>
      </w:pPr>
      <w:bookmarkStart w:id="110" w:name="_Toc110"/>
      <w:r>
        <w:t>Tekst</w:t>
      </w:r>
      <w:bookmarkEnd w:id="110"/>
    </w:p>
    <w:p>
      <w:pPr/>
      <w:r>
        <w:rPr/>
        <w:t xml:space="preserve">Indien Inschrijver een take-backprogramma heeft voor het (veilig) innemen van kunststofartikelen, zoals spuiten, wordt de inschrijving hoger gewaardeerd.</w:t>
      </w:r>
    </w:p>
    <w:p>
      <w:pPr>
        <w:pStyle w:val="Heading2"/>
      </w:pPr>
      <w:bookmarkStart w:id="111" w:name="_Toc111"/>
      <w:r>
        <w:t>Mogelijke bewijsmiddelen</w:t>
      </w:r>
      <w:bookmarkEnd w:id="111"/>
    </w:p>
    <w:p>
      <w:pPr/>
      <w:r>
        <w:rPr/>
        <w:t xml:space="preserve">-</w:t>
      </w:r>
    </w:p>
    <w:p>
      <w:pPr>
        <w:pStyle w:val="Heading2"/>
      </w:pPr>
      <w:bookmarkStart w:id="112" w:name="_Toc112"/>
      <w:r>
        <w:t>Wijze van beoordelen</w:t>
      </w:r>
      <w:bookmarkEnd w:id="112"/>
    </w:p>
    <w:p>
      <w:pPr/>
      <w:r>
        <w:rPr/>
        <w:t xml:space="preserve">-</w:t>
      </w:r>
    </w:p>
    <w:p>
      <w:pPr>
        <w:pStyle w:val="Heading2"/>
      </w:pPr>
      <w:bookmarkStart w:id="113" w:name="_Toc113"/>
      <w:r>
        <w:t>Bijbehorende contractbepaling</w:t>
      </w:r>
      <w:bookmarkEnd w:id="113"/>
    </w:p>
    <w:p>
      <w:pPr/>
      <w:r>
        <w:rPr/>
        <w:t xml:space="preserve">-</w:t>
      </w:r>
    </w:p>
    <w:p>
      <w:pPr>
        <w:pStyle w:val="Heading2"/>
      </w:pPr>
      <w:bookmarkStart w:id="114" w:name="_Toc114"/>
      <w:r>
        <w:t>Toelichting voor inkopende organisatie</w:t>
      </w:r>
      <w:bookmarkEnd w:id="114"/>
    </w:p>
    <w:p>
      <w:pPr/>
      <w:r>
        <w:rPr/>
        <w:t xml:space="preserve">Een verder toelichting is terug te vinden op De Groene Z: zie link</w:t>
      </w:r>
    </w:p>
    <w:p>
      <w:pPr>
        <w:pStyle w:val="Heading2"/>
      </w:pPr>
      <w:bookmarkStart w:id="115" w:name="_Toc115"/>
      <w:r>
        <w:t>External links</w:t>
      </w:r>
      <w:bookmarkEnd w:id="115"/>
    </w:p>
    <w:p>
      <w:hyperlink r:id="rId10" w:history="1">
        <w:r>
          <w:t xml:space="preserve">https://www.degroenez.org/productgroepen/spuit-zonder-naald</w:t>
        </w:r>
      </w:hyperlink>
    </w:p>
    <w:p>
      <w:pPr>
        <w:pStyle w:val="Heading2"/>
      </w:pPr>
      <w:bookmarkStart w:id="116" w:name="_Toc116"/>
      <w:r>
        <w:t>Bron</w:t>
      </w:r>
      <w:bookmarkEnd w:id="116"/>
    </w:p>
    <w:p>
      <w:pPr>
        <w:numPr>
          <w:ilvl w:val="0"/>
          <w:numId w:val="3"/>
        </w:numPr>
      </w:pPr>
      <w:r>
        <w:rPr/>
        <w:t xml:space="preserve">Zorg Inkoop Netwerk Nederland</w:t>
      </w:r>
    </w:p>
    <w:p/>
    <w:p>
      <w:pPr>
        <w:pStyle w:val="Heading1"/>
      </w:pPr>
      <w:bookmarkStart w:id="117" w:name="_Toc117"/>
      <w:r>
        <w:t>3.15 Materiaalreductie wordt hoger gewaardeerd</w:t>
      </w:r>
      <w:bookmarkEnd w:id="117"/>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118" w:name="_Toc118"/>
      <w:r>
        <w:t>Thema's</w:t>
      </w:r>
      <w:bookmarkEnd w:id="118"/>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65.02.06.00 - Spuiten</w:t>
      </w:r>
    </w:p>
    <w:p>
      <w:pPr>
        <w:pStyle w:val="Heading2"/>
      </w:pPr>
      <w:bookmarkStart w:id="119" w:name="_Toc119"/>
      <w:r>
        <w:t>Tekst</w:t>
      </w:r>
      <w:bookmarkEnd w:id="119"/>
    </w:p>
    <w:p>
      <w:pPr/>
      <w:r>
        <w:rPr/>
        <w:t xml:space="preserve">Medische disposables, zoals spuiten, die zijn ontworpen met het oog op materiaalreductie (dunnere wanden) worden hoger gewaardeerd. Materiaalreductie gaat niet ten koste van de productkwaliteit.</w:t>
      </w:r>
    </w:p>
    <w:p>
      <w:pPr>
        <w:pStyle w:val="Heading2"/>
      </w:pPr>
      <w:bookmarkStart w:id="120" w:name="_Toc120"/>
      <w:r>
        <w:t>Mogelijke bewijsmiddelen</w:t>
      </w:r>
      <w:bookmarkEnd w:id="120"/>
    </w:p>
    <w:p>
      <w:pPr/>
      <w:r>
        <w:rPr/>
        <w:t xml:space="preserve">-</w:t>
      </w:r>
    </w:p>
    <w:p>
      <w:pPr>
        <w:pStyle w:val="Heading2"/>
      </w:pPr>
      <w:bookmarkStart w:id="121" w:name="_Toc121"/>
      <w:r>
        <w:t>Wijze van beoordelen</w:t>
      </w:r>
      <w:bookmarkEnd w:id="121"/>
    </w:p>
    <w:p>
      <w:pPr/>
      <w:r>
        <w:rPr/>
        <w:t xml:space="preserve">-</w:t>
      </w:r>
    </w:p>
    <w:p>
      <w:pPr>
        <w:pStyle w:val="Heading2"/>
      </w:pPr>
      <w:bookmarkStart w:id="122" w:name="_Toc122"/>
      <w:r>
        <w:t>Bijbehorende contractbepaling</w:t>
      </w:r>
      <w:bookmarkEnd w:id="122"/>
    </w:p>
    <w:p>
      <w:pPr/>
      <w:r>
        <w:rPr/>
        <w:t xml:space="preserve">-</w:t>
      </w:r>
    </w:p>
    <w:p>
      <w:pPr>
        <w:pStyle w:val="Heading2"/>
      </w:pPr>
      <w:bookmarkStart w:id="123" w:name="_Toc123"/>
      <w:r>
        <w:t>Toelichting voor inkopende organisatie</w:t>
      </w:r>
      <w:bookmarkEnd w:id="123"/>
    </w:p>
    <w:p>
      <w:pPr/>
      <w:r>
        <w:rPr/>
        <w:t xml:space="preserve">Een verder toelichting is terug te vinden op De Groene Z: zie linkjes</w:t>
      </w:r>
    </w:p>
    <w:p>
      <w:pPr>
        <w:pStyle w:val="Heading2"/>
      </w:pPr>
      <w:bookmarkStart w:id="124" w:name="_Toc124"/>
      <w:r>
        <w:t>External links</w:t>
      </w:r>
      <w:bookmarkEnd w:id="124"/>
    </w:p>
    <w:p>
      <w:hyperlink r:id="rId10" w:history="1">
        <w:r>
          <w:t xml:space="preserve">https://www.degroenez.org/productgroepen/spuit-zonder-naald</w:t>
        </w:r>
      </w:hyperlink>
    </w:p>
    <w:p>
      <w:hyperlink r:id="rId17" w:history="1">
        <w:r>
          <w:t xml:space="preserve">https://www.degroenez.org/productgroepen/naaldencontainer/wegwerp#section-sustainable-use</w:t>
        </w:r>
      </w:hyperlink>
    </w:p>
    <w:p>
      <w:pPr>
        <w:pStyle w:val="Heading2"/>
      </w:pPr>
      <w:bookmarkStart w:id="125" w:name="_Toc125"/>
      <w:r>
        <w:t>Bron</w:t>
      </w:r>
      <w:bookmarkEnd w:id="125"/>
    </w:p>
    <w:p>
      <w:pPr>
        <w:numPr>
          <w:ilvl w:val="0"/>
          <w:numId w:val="3"/>
        </w:numPr>
      </w:pPr>
      <w:r>
        <w:rPr/>
        <w:t xml:space="preserve">Zorg Inkoop Netwerk Nederland</w:t>
      </w:r>
    </w:p>
    <w:p/>
    <w:p>
      <w:pPr>
        <w:pStyle w:val="Heading1"/>
      </w:pPr>
      <w:bookmarkStart w:id="126" w:name="_Toc126"/>
      <w:r>
        <w:t>3.16 Specifiek voor incontinentiemateriaal: Vochtindicator in incontinentiemateriaal</w:t>
      </w:r>
      <w:bookmarkEnd w:id="126"/>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127" w:name="_Toc127"/>
      <w:r>
        <w:t>Thema's</w:t>
      </w:r>
      <w:bookmarkEnd w:id="127"/>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65.04.95.08 - Absorberend incontinentiemateriaal</w:t>
      </w:r>
    </w:p>
    <w:p>
      <w:pPr>
        <w:pStyle w:val="Heading2"/>
      </w:pPr>
      <w:bookmarkStart w:id="128" w:name="_Toc128"/>
      <w:r>
        <w:t>Tekst</w:t>
      </w:r>
      <w:bookmarkEnd w:id="128"/>
    </w:p>
    <w:p>
      <w:pPr/>
      <w:r>
        <w:rPr/>
        <w:t xml:space="preserve">Minimaal 50% van het signal use incontinentiemateriaal binnen het totale aanbod van absoberende medische hulpmiddelen dat door de Inschrijver wordt aangeboden, aan de Opdrachtgever is voorzien van een ingebouwd vochtindicator. De vochtindicator meet de mate van verzadiging, zodat single‑use incontinentiemateriaal niet onnodig vroeg wordt vervangen. Hiermee wordt onnodig afval voorkomen.
Deze eis heeft uitsluitend betrekking op het single‑use deel van het assortiment absorberende medische hulpmiddelen. Duurzame innovatieve alternatieven zoals wasbare oplossingen of digitale monitoringtechnieken worden buiten deze 50%-verplichting gehouden, mits zij aantoonbaar bijdragen aan vermindering van milieu-impact.</w:t>
      </w:r>
    </w:p>
    <w:p>
      <w:pPr>
        <w:pStyle w:val="Heading2"/>
      </w:pPr>
      <w:bookmarkStart w:id="129" w:name="_Toc129"/>
      <w:r>
        <w:t>Mogelijke bewijsmiddelen</w:t>
      </w:r>
      <w:bookmarkEnd w:id="129"/>
    </w:p>
    <w:p>
      <w:pPr/>
      <w:r>
        <w:rPr/>
        <w:t xml:space="preserve">-</w:t>
      </w:r>
    </w:p>
    <w:p>
      <w:pPr>
        <w:pStyle w:val="Heading2"/>
      </w:pPr>
      <w:bookmarkStart w:id="130" w:name="_Toc130"/>
      <w:r>
        <w:t>Wijze van beoordelen</w:t>
      </w:r>
      <w:bookmarkEnd w:id="130"/>
    </w:p>
    <w:p>
      <w:pPr/>
      <w:r>
        <w:rPr/>
        <w:t xml:space="preserve">-</w:t>
      </w:r>
    </w:p>
    <w:p>
      <w:pPr>
        <w:pStyle w:val="Heading2"/>
      </w:pPr>
      <w:bookmarkStart w:id="131" w:name="_Toc131"/>
      <w:r>
        <w:t>Bijbehorende contractbepaling</w:t>
      </w:r>
      <w:bookmarkEnd w:id="131"/>
    </w:p>
    <w:p>
      <w:pPr/>
      <w:r>
        <w:rPr/>
        <w:t xml:space="preserve">-</w:t>
      </w:r>
    </w:p>
    <w:p>
      <w:pPr>
        <w:pStyle w:val="Heading2"/>
      </w:pPr>
      <w:bookmarkStart w:id="132" w:name="_Toc132"/>
      <w:r>
        <w:t>Toelichting voor inkopende organisatie</w:t>
      </w:r>
      <w:bookmarkEnd w:id="132"/>
    </w:p>
    <w:p>
      <w:pPr/>
      <w:r>
        <w:rPr/>
        <w:t xml:space="preserve">Aanvullende informatie is terug te vinden op de Groene Z: zie link</w:t>
      </w:r>
    </w:p>
    <w:p>
      <w:pPr>
        <w:pStyle w:val="Heading2"/>
      </w:pPr>
      <w:bookmarkStart w:id="133" w:name="_Toc133"/>
      <w:r>
        <w:t>External links</w:t>
      </w:r>
      <w:bookmarkEnd w:id="133"/>
    </w:p>
    <w:p>
      <w:hyperlink r:id="rId18" w:history="1">
        <w:r>
          <w:t xml:space="preserve">https://www.degroenez.org/productgroepen/incontinentiebroek/wegwerp#section-sustainable-use</w:t>
        </w:r>
      </w:hyperlink>
    </w:p>
    <w:p>
      <w:pPr>
        <w:pStyle w:val="Heading2"/>
      </w:pPr>
      <w:bookmarkStart w:id="134" w:name="_Toc134"/>
      <w:r>
        <w:t>Bron</w:t>
      </w:r>
      <w:bookmarkEnd w:id="134"/>
    </w:p>
    <w:p>
      <w:pPr>
        <w:numPr>
          <w:ilvl w:val="0"/>
          <w:numId w:val="3"/>
        </w:numPr>
      </w:pPr>
      <w:r>
        <w:rPr/>
        <w:t xml:space="preserve">Milieu Platform Zorg</w:t>
      </w:r>
    </w:p>
    <w:p/>
    <w:p>
      <w:pPr>
        <w:pStyle w:val="Heading1"/>
      </w:pPr>
      <w:bookmarkStart w:id="135" w:name="_Toc135"/>
      <w:r>
        <w:t>3.17 Modulair ontworpen medische hulpmiddelen</w:t>
      </w:r>
      <w:bookmarkEnd w:id="135"/>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136" w:name="_Toc136"/>
      <w:r>
        <w:t>Thema's</w:t>
      </w:r>
      <w:bookmarkEnd w:id="136"/>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65.16.93.00 - Pompen, infuusportsystemen + VAP, 65.79.99.00 - Connectoren algemeen</w:t>
      </w:r>
    </w:p>
    <w:p>
      <w:pPr>
        <w:pStyle w:val="Heading2"/>
      </w:pPr>
      <w:bookmarkStart w:id="137" w:name="_Toc137"/>
      <w:r>
        <w:t>Tekst</w:t>
      </w:r>
      <w:bookmarkEnd w:id="137"/>
    </w:p>
    <w:p>
      <w:pPr/>
      <w:r>
        <w:rPr/>
        <w:t xml:space="preserve">Inschrijver zorgt ervoor dat hulpmiddelen zoveel mogelijk modulair ontworpen zijn, waarbij versleten en defecte onderdelen kunnen worden vervangen.</w:t>
      </w:r>
    </w:p>
    <w:p>
      <w:pPr>
        <w:pStyle w:val="Heading2"/>
      </w:pPr>
      <w:bookmarkStart w:id="138" w:name="_Toc138"/>
      <w:r>
        <w:t>Mogelijke bewijsmiddelen</w:t>
      </w:r>
      <w:bookmarkEnd w:id="138"/>
    </w:p>
    <w:p>
      <w:pPr/>
      <w:r>
        <w:rPr/>
        <w:t xml:space="preserve">-</w:t>
      </w:r>
    </w:p>
    <w:p>
      <w:pPr>
        <w:pStyle w:val="Heading2"/>
      </w:pPr>
      <w:bookmarkStart w:id="139" w:name="_Toc139"/>
      <w:r>
        <w:t>Wijze van beoordelen</w:t>
      </w:r>
      <w:bookmarkEnd w:id="139"/>
    </w:p>
    <w:p>
      <w:pPr/>
      <w:r>
        <w:rPr/>
        <w:t xml:space="preserve">-</w:t>
      </w:r>
    </w:p>
    <w:p>
      <w:pPr>
        <w:pStyle w:val="Heading2"/>
      </w:pPr>
      <w:bookmarkStart w:id="140" w:name="_Toc140"/>
      <w:r>
        <w:t>Bijbehorende contractbepaling</w:t>
      </w:r>
      <w:bookmarkEnd w:id="140"/>
    </w:p>
    <w:p>
      <w:pPr/>
      <w:r>
        <w:rPr/>
        <w:t xml:space="preserve">-</w:t>
      </w:r>
    </w:p>
    <w:p>
      <w:pPr>
        <w:pStyle w:val="Heading2"/>
      </w:pPr>
      <w:bookmarkStart w:id="141" w:name="_Toc141"/>
      <w:r>
        <w:t>Toelichting voor inkopende organisatie</w:t>
      </w:r>
      <w:bookmarkEnd w:id="141"/>
    </w:p>
    <w:p>
      <w:pPr/>
      <w:r>
        <w:rPr/>
        <w:t xml:space="preserve">-</w:t>
      </w:r>
    </w:p>
    <w:p>
      <w:pPr>
        <w:pStyle w:val="Heading2"/>
      </w:pPr>
      <w:bookmarkStart w:id="142" w:name="_Toc142"/>
      <w:r>
        <w:t>External links</w:t>
      </w:r>
      <w:bookmarkEnd w:id="142"/>
    </w:p>
    <w:p>
      <w:pPr>
        <w:pStyle w:val="Heading2"/>
      </w:pPr>
      <w:bookmarkStart w:id="143" w:name="_Toc143"/>
      <w:r>
        <w:t>Bron</w:t>
      </w:r>
      <w:bookmarkEnd w:id="143"/>
    </w:p>
    <w:p>
      <w:pPr>
        <w:numPr>
          <w:ilvl w:val="0"/>
          <w:numId w:val="3"/>
        </w:numPr>
      </w:pPr>
      <w:r>
        <w:rPr/>
        <w:t xml:space="preserve">Zorg Inkoop Netwerk Nederland</w:t>
      </w:r>
    </w:p>
    <w:p/>
    <w:p>
      <w:pPr>
        <w:pStyle w:val="Heading1"/>
      </w:pPr>
      <w:bookmarkStart w:id="144" w:name="_Toc144"/>
      <w:r>
        <w:t>3.18 Specifiek voor wegwerphandschoenen: Primaire en secundaire verpakking</w:t>
      </w:r>
      <w:bookmarkEnd w:id="144"/>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145" w:name="_Toc145"/>
      <w:r>
        <w:t>Thema's</w:t>
      </w:r>
      <w:bookmarkEnd w:id="145"/>
    </w:p>
    <w:p>
      <w:pPr/>
      <w:r>
        <w:pict>
          <v:shape type="#_x0000_t75" stroked="f" style="width:47.376623376623pt; height:48pt; margin-left:0pt; margin-top:0pt; mso-position-horizontal:left; mso-position-vertical:top; mso-position-horizontal-relative:char; mso-position-vertical-relative:line;">
            <w10:wrap type="inline"/>
            <v:imagedata r:id="rId19" o:title=""/>
          </v:shape>
        </w:pict>
      </w:r>
    </w:p>
    <w:p>
      <w:pPr/>
      <w:r>
        <w:rPr>
          <w:b w:val="1"/>
          <w:bCs w:val="1"/>
        </w:rPr>
        <w:t xml:space="preserve">AOC: </w:t>
      </w:r>
      <w:r>
        <w:rPr/>
        <w:t xml:space="preserve">65.79.01.02 - Handschoen steriel, 65.79.01.04 - Handschoen onderhandschoen, 65.79.01.03 - Handschoen onsteriel</w:t>
      </w:r>
    </w:p>
    <w:p>
      <w:pPr>
        <w:pStyle w:val="Heading2"/>
      </w:pPr>
      <w:bookmarkStart w:id="146" w:name="_Toc146"/>
      <w:r>
        <w:t>Tekst</w:t>
      </w:r>
      <w:bookmarkEnd w:id="146"/>
    </w:p>
    <w:p>
      <w:pPr/>
      <w:r>
        <w:rPr/>
        <w:t xml:space="preserve">Inschrijver voldoet aan de eisen die gelden voor primaire en secundaire verpakkingen van steriele wegwerphandschoenen.</w:t>
      </w:r>
    </w:p>
    <w:p>
      <w:pPr>
        <w:pStyle w:val="Heading2"/>
      </w:pPr>
      <w:bookmarkStart w:id="147" w:name="_Toc147"/>
      <w:r>
        <w:t>Mogelijke bewijsmiddelen</w:t>
      </w:r>
      <w:bookmarkEnd w:id="147"/>
    </w:p>
    <w:p>
      <w:pPr/>
      <w:r>
        <w:rPr/>
        <w:t xml:space="preserve">-</w:t>
      </w:r>
    </w:p>
    <w:p>
      <w:pPr>
        <w:pStyle w:val="Heading2"/>
      </w:pPr>
      <w:bookmarkStart w:id="148" w:name="_Toc148"/>
      <w:r>
        <w:t>Wijze van beoordelen</w:t>
      </w:r>
      <w:bookmarkEnd w:id="148"/>
    </w:p>
    <w:p>
      <w:pPr/>
      <w:r>
        <w:rPr/>
        <w:t xml:space="preserve">Op verzoekt levert Inschrijver het volgende aan:
-              Zelfverklaring dat verpakkingsmateriaal voldoet aan EU-richtlijn 94/62/EG betreffende verpakking en verpakkingsafval
-              Technische documentatie waaruit blijkt dat het materiaal geen PVC bevat
-              Voor medische handschoenen: EN ISO 15223–1 Medische hulpmiddelen - Symbolen voor het gebruik met informatievoorziening door de fabrikant - Deel 1: Algemene eisen                                                                                  -Voor laboratoriumhandschoenen: EN 21420 Beschermende handschoenen - Algemene eisen en beproevingsmethoden
Eigen verklaring (inclusief technische documentatie) die geverifieerd is door een geaccrediteerde verificatie-instantie. Deze instantie voldoet aan ISO/IEC 17029 Conformity Assessment - General principles and requirements for validation and verification bodies, of een gelijkwaardige norm.
Chirurgische handschoenen:
- ISO11607-1:2006 Verpakking voor terminaal gesteriliseerde medische hulpmiddelen – Deel 1: Eisen voor materialen, steriele barrièresystemen en verpakkingssystemen of gelijkwaardig</w:t>
      </w:r>
    </w:p>
    <w:p>
      <w:pPr>
        <w:pStyle w:val="Heading2"/>
      </w:pPr>
      <w:bookmarkStart w:id="149" w:name="_Toc149"/>
      <w:r>
        <w:t>Bijbehorende contractbepaling</w:t>
      </w:r>
      <w:bookmarkEnd w:id="149"/>
    </w:p>
    <w:p>
      <w:pPr/>
      <w:r>
        <w:rPr/>
        <w:t xml:space="preserve">-</w:t>
      </w:r>
    </w:p>
    <w:p>
      <w:pPr>
        <w:pStyle w:val="Heading2"/>
      </w:pPr>
      <w:bookmarkStart w:id="150" w:name="_Toc150"/>
      <w:r>
        <w:t>Toelichting voor inkopende organisatie</w:t>
      </w:r>
      <w:bookmarkEnd w:id="150"/>
    </w:p>
    <w:p>
      <w:pPr/>
      <w:r>
        <w:rPr/>
        <w:t xml:space="preserve">Algemene eisen:
-              Inschrijver voorkomt onnodig verpakkingsmateriaal in overeenstemming met EU-richtlijn 94/62/EG van de betreffende verpakking en verpakkingsafval.
-              Verpakkingsmateriaal bevat geen PVC
-              Verpakking is medisch steriel
-              Handschoenen zijn in de primaire verpakking per paar verpakt
Op de primaire en secundaire verpakking staan symbolen die aangeven of de handschoenen steriel zijn. Dit is in overeenstemming met EN ISO 15223–1 voor medische handschoenen en EN 21420 voor laboratoriumhandschoenen.
Eisen specifiek voor secundaire verpakkingen:
-              Op de secundaire verpakking staat informatie over: handschoenmateriaal, aantal handschoenen, handschoenmaat.
De secundaire verpakking is beschikbaar in verschillende formaten (vanaf 100 paar handschoenen per secundaire verpakking).
Eisen specifiek voor chirurgische handschoenen:
-              Het materiaal van de secundaire verpakking bestaat uit een drielaags steriel barrièresysteem.
Handschoenen zijn afzonderlijk verpakt in steriel verpakkingsmateriaal in overeenstemming met ISO11607-1:2006.Verpakking voor terminaal gesteriliseerde medische hulpmiddelen – Deel 1: Eisen voor materialen, steriele barrièresystemen en verpakkingssystemen of gelijkwaardig.
Verkoop- of primaire verpakkingen: verpakkingen die direct in contact staat met het product. Samen met de inhoud vormt dit één verkoopeenheid.
Verzamel- of secundaire verpakkingen: verpakkingen waarin meerdere verkoopeenheden zijn samengevoegd.
Aanvullende informatie is terug te vinden op de Groene Z: zie link</w:t>
      </w:r>
    </w:p>
    <w:p>
      <w:pPr>
        <w:pStyle w:val="Heading2"/>
      </w:pPr>
      <w:bookmarkStart w:id="151" w:name="_Toc151"/>
      <w:r>
        <w:t>External links</w:t>
      </w:r>
      <w:bookmarkEnd w:id="151"/>
    </w:p>
    <w:p>
      <w:hyperlink r:id="rId20" w:history="1">
        <w:r>
          <w:t xml:space="preserve">https://kidv.nl/eu-richtlijn-verpakken-94-62-eg</w:t>
        </w:r>
      </w:hyperlink>
    </w:p>
    <w:p>
      <w:hyperlink r:id="rId21" w:history="1">
        <w:r>
          <w:t xml:space="preserve">https://www.nen.nl/nen-en-iso-15223-1-2021-en-287911</w:t>
        </w:r>
      </w:hyperlink>
    </w:p>
    <w:p>
      <w:hyperlink r:id="rId22" w:history="1">
        <w:r>
          <w:t xml:space="preserve">https://www.nen.nl/nen-en-iso-21420-2020-en-269080</w:t>
        </w:r>
      </w:hyperlink>
    </w:p>
    <w:p>
      <w:hyperlink r:id="rId23" w:history="1">
        <w:r>
          <w:t xml:space="preserve">https://www.nen.nl/nen-en-iso-iec-17029-2019-en-265737</w:t>
        </w:r>
      </w:hyperlink>
    </w:p>
    <w:p>
      <w:hyperlink r:id="rId24" w:history="1">
        <w:r>
          <w:t xml:space="preserve">https://connect.nen.nl/standard/Detail/105245?compId=0&amp;collectionId=0</w:t>
        </w:r>
      </w:hyperlink>
    </w:p>
    <w:p>
      <w:pPr>
        <w:pStyle w:val="Heading2"/>
      </w:pPr>
      <w:bookmarkStart w:id="152" w:name="_Toc152"/>
      <w:r>
        <w:t>Bron</w:t>
      </w:r>
      <w:bookmarkEnd w:id="152"/>
    </w:p>
    <w:p>
      <w:pPr>
        <w:numPr>
          <w:ilvl w:val="0"/>
          <w:numId w:val="3"/>
        </w:numPr>
      </w:pPr>
      <w:r>
        <w:rPr/>
        <w:t xml:space="preserve">Upphandlings Myndigheten</w:t>
      </w:r>
    </w:p>
    <w:p/>
    <w:p>
      <w:pPr>
        <w:pStyle w:val="Heading1"/>
      </w:pPr>
      <w:bookmarkStart w:id="153" w:name="_Toc153"/>
      <w:r>
        <w:t>3.19 Latex-vrije verbruiksgoederen</w:t>
      </w:r>
      <w:bookmarkEnd w:id="153"/>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154" w:name="_Toc154"/>
      <w:r>
        <w:t>Thema's</w:t>
      </w:r>
      <w:bookmarkEnd w:id="154"/>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65.79.01.22 - Operatiekleding tbv personeel, 65.79.01.01 - Isolatiejas, 65.79.01.03 - Handschoen onsteriel, 65.79.01.02 - Handschoen steriel, 65.79.01.23 - Mondmasker, 65.79.01.04 - Handschoen onderhandschoen</w:t>
      </w:r>
    </w:p>
    <w:p>
      <w:pPr>
        <w:pStyle w:val="Heading2"/>
      </w:pPr>
      <w:bookmarkStart w:id="155" w:name="_Toc155"/>
      <w:r>
        <w:t>Tekst</w:t>
      </w:r>
      <w:bookmarkEnd w:id="155"/>
    </w:p>
    <w:p>
      <w:pPr/>
      <w:r>
        <w:rPr/>
        <w:t xml:space="preserve">Medische verbruiksgoederen bevatten geen natuurrubber (latex).</w:t>
      </w:r>
    </w:p>
    <w:p>
      <w:pPr>
        <w:pStyle w:val="Heading2"/>
      </w:pPr>
      <w:bookmarkStart w:id="156" w:name="_Toc156"/>
      <w:r>
        <w:t>Mogelijke bewijsmiddelen</w:t>
      </w:r>
      <w:bookmarkEnd w:id="156"/>
    </w:p>
    <w:p>
      <w:pPr/>
      <w:r>
        <w:rPr/>
        <w:t xml:space="preserve">Op verzoek levert Inschrijver het volgende aan: - Technische documentatie waaruit blijkt dat producten geen natuurrubber (latex) bevatten - Als een geverifieerde eigen verklaring wordt gebruikt om aan te tonen dat aan de eis is voldaan (inclusief technische documentatie van naleving) dan moet de eigen verklaring zijn geverifieerd door een verificatie-instelling die voor de taak is geaccrediteerd in overeenstemming met ISO/IEC 17029 Conformity Assessment - General principles and requirements for validation and verification bodies https://www.nen.nl/nen-en-iso-iec-17029-2019-en-265737 of een gelijkwaardige norm.</w:t>
      </w:r>
    </w:p>
    <w:p>
      <w:pPr>
        <w:pStyle w:val="Heading2"/>
      </w:pPr>
      <w:bookmarkStart w:id="157" w:name="_Toc157"/>
      <w:r>
        <w:t>Wijze van beoordelen</w:t>
      </w:r>
      <w:bookmarkEnd w:id="157"/>
    </w:p>
    <w:p>
      <w:pPr/>
      <w:r>
        <w:rPr/>
        <w:t xml:space="preserve">-</w:t>
      </w:r>
    </w:p>
    <w:p>
      <w:pPr>
        <w:pStyle w:val="Heading2"/>
      </w:pPr>
      <w:bookmarkStart w:id="158" w:name="_Toc158"/>
      <w:r>
        <w:t>Bijbehorende contractbepaling</w:t>
      </w:r>
      <w:bookmarkEnd w:id="158"/>
    </w:p>
    <w:p>
      <w:pPr/>
      <w:r>
        <w:rPr/>
        <w:t xml:space="preserve">-</w:t>
      </w:r>
    </w:p>
    <w:p>
      <w:pPr>
        <w:pStyle w:val="Heading2"/>
      </w:pPr>
      <w:bookmarkStart w:id="159" w:name="_Toc159"/>
      <w:r>
        <w:t>Toelichting voor inkopende organisatie</w:t>
      </w:r>
      <w:bookmarkEnd w:id="159"/>
    </w:p>
    <w:p>
      <w:pPr/>
      <w:r>
        <w:rPr/>
        <w:t xml:space="preserve">Aanvullende toelichting over handschoenen is terug te vinden op de Groene Z: zie link</w:t>
      </w:r>
    </w:p>
    <w:p>
      <w:pPr>
        <w:pStyle w:val="Heading2"/>
      </w:pPr>
      <w:bookmarkStart w:id="160" w:name="_Toc160"/>
      <w:r>
        <w:t>External links</w:t>
      </w:r>
      <w:bookmarkEnd w:id="160"/>
    </w:p>
    <w:p>
      <w:hyperlink r:id="rId25" w:history="1">
        <w:r>
          <w:t xml:space="preserve">De Groene Z | Handschoenen niet-steriel</w:t>
        </w:r>
      </w:hyperlink>
    </w:p>
    <w:p>
      <w:pPr>
        <w:pStyle w:val="Heading2"/>
      </w:pPr>
      <w:bookmarkStart w:id="161" w:name="_Toc161"/>
      <w:r>
        <w:t>Bron</w:t>
      </w:r>
      <w:bookmarkEnd w:id="161"/>
    </w:p>
    <w:p>
      <w:pPr>
        <w:numPr>
          <w:ilvl w:val="0"/>
          <w:numId w:val="3"/>
        </w:numPr>
      </w:pPr>
      <w:r>
        <w:rPr/>
        <w:t xml:space="preserve">Upphandlings Myndigheten</w:t>
      </w:r>
    </w:p>
    <w:p/>
    <w:p>
      <w:pPr>
        <w:pStyle w:val="Heading1"/>
      </w:pPr>
      <w:bookmarkStart w:id="162" w:name="_Toc162"/>
      <w:r>
        <w:t>3.2 Life Cycle Assessment (LCA) &amp; Ecodesign </w:t>
      </w:r>
      <w:bookmarkEnd w:id="162"/>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163" w:name="_Toc163"/>
      <w:r>
        <w:t>Thema's</w:t>
      </w:r>
      <w:bookmarkEnd w:id="163"/>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164" w:name="_Toc164"/>
      <w:r>
        <w:t>Tekst</w:t>
      </w:r>
      <w:bookmarkEnd w:id="164"/>
    </w:p>
    <w:p>
      <w:pPr/>
      <w:r>
        <w:rPr/>
        <w:t xml:space="preserve">De Inschrijver levert bij inschrijving een volledige, transparante en verifieerbare Life Cycle Assessment (LCA) aan van het aangeboden product. Indien meerdere producttypen binnen de scope vallen, wordt in overleg bepaald voor welke typen afzonderlijke LCA’s worden ingediend. 
 - De LCA moet zijn opgesteld voor het specifieke product dat wordt aangeboden in deze aanbesteding.
Normen en methodiek
De LCA moet worden opgesteld volgens ISO 14040/14044 en de klimaatimpact (CO₂eq) moet worden berekend volgens het GHG Protocol of een vergelijkbare standaard. Een extern gevalideerde LCA volgens ISO 14067 kan extra waardering opleveren.
- ISO 14040 Milieumanagement - Levenscyclusanalyse - Principes en raamwerk 
- ISO 14044 Milieumanagement - Levenscyclusanalyse - Eisen en richtlijnen 
- ISO 14067 Broeikasgassen - Carbon footprint van producten - Eisen en richtlijnen voor kwantificering
Levenscyclusfasen
De LCA moet alle fasen van de levenscyclus bevatten:
* grondstofwinning
* productie
* transport (upstream + downstream)
* gebruik
* endoflife (verplicht: scenario’s, verwerking, hotspots)
Transparantie &amp;amp; aannames
De LCA moet helder aangeven:
* de functionele eenheid (bijv. per product of per 1.000 toepassingen)
* gebruiksaannames (frequentie, parameters, levensduur)
* gebruikte software + versie en database + versie
* systeemboundaries, modellering en allocaties
* onderscheid tussen empirische en gemodelleerde data
NDA gevoelige informatie die niet relevant is voor de milieuimpact hoeft niet te worden aangeleverd.
Klimaatimpact
De totale CO₂impact moet worden weergegeven en uitgesplitst naar alle fasen.
Ecodesignproces
De Inschrijver moet aantonen dat er een geformaliseerd ecodesignproces bestaat, bijvoorbeeld met interne procedures of (indien aanwezig) ISO14006 documentatie.</w:t>
      </w:r>
    </w:p>
    <w:p>
      <w:pPr>
        <w:pStyle w:val="Heading2"/>
      </w:pPr>
      <w:bookmarkStart w:id="165" w:name="_Toc165"/>
      <w:r>
        <w:t>Mogelijke bewijsmiddelen</w:t>
      </w:r>
      <w:bookmarkEnd w:id="165"/>
    </w:p>
    <w:p>
      <w:pPr/>
      <w:r>
        <w:rPr/>
        <w:t xml:space="preserve">Een LCA-analyse conform NEN 14040 norm.</w:t>
      </w:r>
    </w:p>
    <w:p>
      <w:pPr>
        <w:pStyle w:val="Heading2"/>
      </w:pPr>
      <w:bookmarkStart w:id="166" w:name="_Toc166"/>
      <w:r>
        <w:t>Wijze van beoordelen</w:t>
      </w:r>
      <w:bookmarkEnd w:id="166"/>
    </w:p>
    <w:p>
      <w:pPr/>
      <w:r>
        <w:rPr/>
        <w:t xml:space="preserve">Controle van de bewijsmiddelen. Voldoet het aan alle eisen ja/nee.</w:t>
      </w:r>
    </w:p>
    <w:p>
      <w:pPr>
        <w:pStyle w:val="Heading2"/>
      </w:pPr>
      <w:bookmarkStart w:id="167" w:name="_Toc167"/>
      <w:r>
        <w:t>Bijbehorende contractbepaling</w:t>
      </w:r>
      <w:bookmarkEnd w:id="167"/>
    </w:p>
    <w:p>
      <w:pPr/>
      <w:r>
        <w:rPr/>
        <w:t xml:space="preserve">Aanvullende contractbepalingen kunnen zijn:
-	Er vindt periodiek een overleg plaats tussen Inschrijver en Opdrachtgever over de doelstellingen uit het actieplan.
-	In de loop van de contractperiode wordt het verduurzamingsplan verder aangescherpt.</w:t>
      </w:r>
    </w:p>
    <w:p>
      <w:pPr>
        <w:pStyle w:val="Heading2"/>
      </w:pPr>
      <w:bookmarkStart w:id="168" w:name="_Toc168"/>
      <w:r>
        <w:t>Toelichting voor inkopende organisatie</w:t>
      </w:r>
      <w:bookmarkEnd w:id="168"/>
    </w:p>
    <w:p>
      <w:pPr/>
      <w:r>
        <w:rPr/>
        <w:t xml:space="preserve">De ISO 14040 is nog niet verplicht bij wet maar hier wordt wel naar gestreefd voor de vertaling naar een heldere LCA. Dit draagt bij aan standaardisatie en eenheid.&amp;nbsp;à&amp;nbsp;verwijzingen&amp;nbsp;normeringen&amp;nbsp;</w:t>
      </w:r>
    </w:p>
    <w:p>
      <w:pPr>
        <w:pStyle w:val="Heading2"/>
      </w:pPr>
      <w:bookmarkStart w:id="169" w:name="_Toc169"/>
      <w:r>
        <w:t>External links</w:t>
      </w:r>
      <w:bookmarkEnd w:id="169"/>
    </w:p>
    <w:p>
      <w:hyperlink r:id="rId26" w:history="1">
        <w:r>
          <w:t xml:space="preserve">https://www.nen.nl/nen-en-iso-14040-2006-en-109085</w:t>
        </w:r>
      </w:hyperlink>
    </w:p>
    <w:p>
      <w:hyperlink r:id="rId27" w:history="1">
        <w:r>
          <w:t xml:space="preserve">https://www.nen.nl/nen-en-iso-14044-2006-en-109086</w:t>
        </w:r>
      </w:hyperlink>
    </w:p>
    <w:p>
      <w:hyperlink r:id="rId28" w:history="1">
        <w:r>
          <w:t xml:space="preserve">https://www.nen.nl/nen-en-iso-14067-2018-en-251144</w:t>
        </w:r>
      </w:hyperlink>
    </w:p>
    <w:p>
      <w:pPr>
        <w:pStyle w:val="Heading2"/>
      </w:pPr>
      <w:bookmarkStart w:id="170" w:name="_Toc170"/>
      <w:r>
        <w:t>Bron</w:t>
      </w:r>
      <w:bookmarkEnd w:id="170"/>
    </w:p>
    <w:p>
      <w:pPr>
        <w:numPr>
          <w:ilvl w:val="0"/>
          <w:numId w:val="3"/>
        </w:numPr>
      </w:pPr>
      <w:r>
        <w:rPr/>
        <w:t xml:space="preserve">Zorg Inkoop Netwerk Nederland</w:t>
      </w:r>
    </w:p>
    <w:p/>
    <w:p>
      <w:pPr>
        <w:pStyle w:val="Heading1"/>
      </w:pPr>
      <w:bookmarkStart w:id="171" w:name="_Toc171"/>
      <w:r>
        <w:t>3.20 Herbruikbaar wordt hoger gewaardeerd</w:t>
      </w:r>
      <w:bookmarkEnd w:id="171"/>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172" w:name="_Toc172"/>
      <w:r>
        <w:t>Thema's</w:t>
      </w:r>
      <w:bookmarkEnd w:id="172"/>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65.79.01.27 - Disposable overall kleding, 65.79.01.01 - Isolatiejas, 65.79.01.23 - Mondmasker, 65.79.01.22 - Operatiekleding tbv personeel</w:t>
      </w:r>
    </w:p>
    <w:p>
      <w:pPr>
        <w:pStyle w:val="Heading2"/>
      </w:pPr>
      <w:bookmarkStart w:id="173" w:name="_Toc173"/>
      <w:r>
        <w:t>Tekst</w:t>
      </w:r>
      <w:bookmarkEnd w:id="173"/>
    </w:p>
    <w:p>
      <w:pPr/>
      <w:r>
        <w:rPr/>
        <w:t xml:space="preserve">De inschrijving wordt hoger gewaardeerd wanneer herbruikbare alternatieven worden aangeboden voor wegwerpartikelen en toont met een levenscyclusanalyse (LCA) aan dat deze herbruikbare artikelen milieuvriendelijker zijn. Voorwaarde is dat deze herbruikbare artikelen veilig (voldoet aan MDR eisen).</w:t>
      </w:r>
    </w:p>
    <w:p>
      <w:pPr>
        <w:pStyle w:val="Heading2"/>
      </w:pPr>
      <w:bookmarkStart w:id="174" w:name="_Toc174"/>
      <w:r>
        <w:t>Mogelijke bewijsmiddelen</w:t>
      </w:r>
      <w:bookmarkEnd w:id="174"/>
    </w:p>
    <w:p>
      <w:pPr/>
      <w:r>
        <w:rPr/>
        <w:t xml:space="preserve">Een LCA-analyse volgens de NEN 14040 norm. Conformiteit MDR en ISO 14971.</w:t>
      </w:r>
    </w:p>
    <w:p>
      <w:pPr>
        <w:pStyle w:val="Heading2"/>
      </w:pPr>
      <w:bookmarkStart w:id="175" w:name="_Toc175"/>
      <w:r>
        <w:t>Wijze van beoordelen</w:t>
      </w:r>
      <w:bookmarkEnd w:id="175"/>
    </w:p>
    <w:p>
      <w:pPr/>
      <w:r>
        <w:rPr/>
        <w:t xml:space="preserve">-</w:t>
      </w:r>
    </w:p>
    <w:p>
      <w:pPr>
        <w:pStyle w:val="Heading2"/>
      </w:pPr>
      <w:bookmarkStart w:id="176" w:name="_Toc176"/>
      <w:r>
        <w:t>Bijbehorende contractbepaling</w:t>
      </w:r>
      <w:bookmarkEnd w:id="176"/>
    </w:p>
    <w:p>
      <w:pPr/>
      <w:r>
        <w:rPr/>
        <w:t xml:space="preserve">-</w:t>
      </w:r>
    </w:p>
    <w:p>
      <w:pPr>
        <w:pStyle w:val="Heading2"/>
      </w:pPr>
      <w:bookmarkStart w:id="177" w:name="_Toc177"/>
      <w:r>
        <w:t>Toelichting voor inkopende organisatie</w:t>
      </w:r>
      <w:bookmarkEnd w:id="177"/>
    </w:p>
    <w:p>
      <w:pPr/>
      <w:r>
        <w:rPr/>
        <w:t xml:space="preserve">Een verder toelichting is terug te vinden op De Groene Z: zie linkjes</w:t>
      </w:r>
    </w:p>
    <w:p>
      <w:pPr>
        <w:pStyle w:val="Heading2"/>
      </w:pPr>
      <w:bookmarkStart w:id="178" w:name="_Toc178"/>
      <w:r>
        <w:t>External links</w:t>
      </w:r>
      <w:bookmarkEnd w:id="178"/>
    </w:p>
    <w:p>
      <w:hyperlink r:id="rId29" w:history="1">
        <w:r>
          <w:t xml:space="preserve">https://www.degroenez.org/productgroepen/steriele-ok-jas/wegwerp#section-sustainable-use</w:t>
        </w:r>
      </w:hyperlink>
    </w:p>
    <w:p>
      <w:hyperlink r:id="rId30" w:history="1">
        <w:r>
          <w:t xml:space="preserve">https://www.degroenez.org/productgroepen/steriele-ok-jas/herbruikbaar#section-sustainable-use/</w:t>
        </w:r>
      </w:hyperlink>
    </w:p>
    <w:p>
      <w:hyperlink r:id="rId31" w:history="1">
        <w:r>
          <w:t xml:space="preserve">https://www.degroenez.org/productgroepen/isolatie-overall/wegwerp#section-sustainable-use</w:t>
        </w:r>
      </w:hyperlink>
    </w:p>
    <w:p>
      <w:pPr>
        <w:pStyle w:val="Heading2"/>
      </w:pPr>
      <w:bookmarkStart w:id="179" w:name="_Toc179"/>
      <w:r>
        <w:t>Bron</w:t>
      </w:r>
      <w:bookmarkEnd w:id="179"/>
    </w:p>
    <w:p>
      <w:pPr>
        <w:numPr>
          <w:ilvl w:val="0"/>
          <w:numId w:val="3"/>
        </w:numPr>
      </w:pPr>
      <w:r>
        <w:rPr/>
        <w:t xml:space="preserve">Zorg Inkoop Netwerk Nederland</w:t>
      </w:r>
    </w:p>
    <w:p/>
    <w:p>
      <w:pPr>
        <w:pStyle w:val="Heading1"/>
      </w:pPr>
      <w:bookmarkStart w:id="180" w:name="_Toc180"/>
      <w:r>
        <w:t>3.21 Gerecyclede kunststoffen</w:t>
      </w:r>
      <w:bookmarkEnd w:id="180"/>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181" w:name="_Toc181"/>
      <w:r>
        <w:t>Thema's</w:t>
      </w:r>
      <w:bookmarkEnd w:id="181"/>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182" w:name="_Toc182"/>
      <w:r>
        <w:t>Tekst</w:t>
      </w:r>
      <w:bookmarkEnd w:id="182"/>
    </w:p>
    <w:p>
      <w:pPr/>
      <w:r>
        <w:rPr/>
        <w:t xml:space="preserve">Kunststofproducten bevatten ten minste 10% post-consumer gerecycled kunststof (PCM). Deze 10%-norm geldt voor alle producten waarin meer dan 100 gram kunststof aanwezig is en wordt berekend op basis van het totale gewicht aan kunststof in het product.
Inschrijver toont aan dat hij aan deze eis voldoet door productspecificaties of andere documentatie aan te leveren waaruit blijkt dat aan dit criterium is voldaan.</w:t>
      </w:r>
    </w:p>
    <w:p>
      <w:pPr>
        <w:pStyle w:val="Heading2"/>
      </w:pPr>
      <w:bookmarkStart w:id="183" w:name="_Toc183"/>
      <w:r>
        <w:t>Mogelijke bewijsmiddelen</w:t>
      </w:r>
      <w:bookmarkEnd w:id="183"/>
    </w:p>
    <w:p>
      <w:pPr/>
      <w:r>
        <w:rPr/>
        <w:t xml:space="preserve">Technische productspecificaties of andere documentatie waaruit blijkt dat aan dit criterium is voldaan. Of gelijkwaardig.</w:t>
      </w:r>
    </w:p>
    <w:p>
      <w:pPr>
        <w:pStyle w:val="Heading2"/>
      </w:pPr>
      <w:bookmarkStart w:id="184" w:name="_Toc184"/>
      <w:r>
        <w:t>Wijze van beoordelen</w:t>
      </w:r>
      <w:bookmarkEnd w:id="184"/>
    </w:p>
    <w:p>
      <w:pPr/>
      <w:r>
        <w:rPr/>
        <w:t xml:space="preserve">Indien Opdrachtgever een hoger ambitieniveau nastreeft, kan hij een hoger percentage post-consumer gerecycled kunststof eisen.
Daarnaast kan Opdrachtgever dit criterium inzetten als gunningscriterium: hoe hoger het percentage, hoe hoger de waardering.</w:t>
      </w:r>
    </w:p>
    <w:p>
      <w:pPr>
        <w:pStyle w:val="Heading2"/>
      </w:pPr>
      <w:bookmarkStart w:id="185" w:name="_Toc185"/>
      <w:r>
        <w:t>Bijbehorende contractbepaling</w:t>
      </w:r>
      <w:bookmarkEnd w:id="185"/>
    </w:p>
    <w:p>
      <w:pPr/>
      <w:r>
        <w:rPr/>
        <w:t xml:space="preserve">-</w:t>
      </w:r>
    </w:p>
    <w:p>
      <w:pPr>
        <w:pStyle w:val="Heading2"/>
      </w:pPr>
      <w:bookmarkStart w:id="186" w:name="_Toc186"/>
      <w:r>
        <w:t>Toelichting voor inkopende organisatie</w:t>
      </w:r>
      <w:bookmarkEnd w:id="186"/>
    </w:p>
    <w:p>
      <w:pPr/>
      <w:r>
        <w:rPr/>
        <w:t xml:space="preserve">Inkoper let op: Inschrijver is vrijgesteld van dit criterium indien er hergebruikte of refurbished producten worden geleverd.
Post-consumer materials (PCM) zijn materialen die door eindgebruikers zijn weggegooid en opnieuw worden gebruikt</w:t>
      </w:r>
    </w:p>
    <w:p>
      <w:pPr>
        <w:pStyle w:val="Heading2"/>
      </w:pPr>
      <w:bookmarkStart w:id="187" w:name="_Toc187"/>
      <w:r>
        <w:t>External links</w:t>
      </w:r>
      <w:bookmarkEnd w:id="187"/>
    </w:p>
    <w:p>
      <w:pPr>
        <w:pStyle w:val="Heading2"/>
      </w:pPr>
      <w:bookmarkStart w:id="188" w:name="_Toc188"/>
      <w:r>
        <w:t>Bron</w:t>
      </w:r>
      <w:bookmarkEnd w:id="188"/>
    </w:p>
    <w:p>
      <w:pPr>
        <w:numPr>
          <w:ilvl w:val="0"/>
          <w:numId w:val="3"/>
        </w:numPr>
      </w:pPr>
      <w:r>
        <w:rPr/>
        <w:t xml:space="preserve">UMC Utrecht</w:t>
      </w:r>
    </w:p>
    <w:p/>
    <w:p>
      <w:pPr>
        <w:pStyle w:val="Heading1"/>
      </w:pPr>
      <w:bookmarkStart w:id="189" w:name="_Toc189"/>
      <w:r>
        <w:t>3.23 Vermindering CO2 uitstoot tijdens contractperiode</w:t>
      </w:r>
      <w:bookmarkEnd w:id="189"/>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190" w:name="_Toc190"/>
      <w:r>
        <w:t>Thema's</w:t>
      </w:r>
      <w:bookmarkEnd w:id="190"/>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191" w:name="_Toc191"/>
      <w:r>
        <w:t>Tekst</w:t>
      </w:r>
      <w:bookmarkEnd w:id="191"/>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192" w:name="_Toc192"/>
      <w:r>
        <w:t>Mogelijke bewijsmiddelen</w:t>
      </w:r>
      <w:bookmarkEnd w:id="192"/>
    </w:p>
    <w:p>
      <w:pPr/>
      <w:r>
        <w:rPr/>
        <w:t xml:space="preserve">Conform SBTI of vergelijkbare rapportages.</w:t>
      </w:r>
    </w:p>
    <w:p>
      <w:pPr>
        <w:pStyle w:val="Heading2"/>
      </w:pPr>
      <w:bookmarkStart w:id="193" w:name="_Toc193"/>
      <w:r>
        <w:t>Wijze van beoordelen</w:t>
      </w:r>
      <w:bookmarkEnd w:id="193"/>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194" w:name="_Toc194"/>
      <w:r>
        <w:t>Bijbehorende contractbepaling</w:t>
      </w:r>
      <w:bookmarkEnd w:id="194"/>
    </w:p>
    <w:p>
      <w:pPr/>
      <w:r>
        <w:rPr/>
        <w:t xml:space="preserve">-</w:t>
      </w:r>
    </w:p>
    <w:p>
      <w:pPr>
        <w:pStyle w:val="Heading2"/>
      </w:pPr>
      <w:bookmarkStart w:id="195" w:name="_Toc195"/>
      <w:r>
        <w:t>Toelichting voor inkopende organisatie</w:t>
      </w:r>
      <w:bookmarkEnd w:id="195"/>
    </w:p>
    <w:p>
      <w:pPr/>
      <w:r>
        <w:rPr/>
        <w:t xml:space="preserve">-</w:t>
      </w:r>
    </w:p>
    <w:p>
      <w:pPr>
        <w:pStyle w:val="Heading2"/>
      </w:pPr>
      <w:bookmarkStart w:id="196" w:name="_Toc196"/>
      <w:r>
        <w:t>External links</w:t>
      </w:r>
      <w:bookmarkEnd w:id="196"/>
    </w:p>
    <w:p>
      <w:pPr>
        <w:pStyle w:val="Heading2"/>
      </w:pPr>
      <w:bookmarkStart w:id="197" w:name="_Toc197"/>
      <w:r>
        <w:t>Bron</w:t>
      </w:r>
      <w:bookmarkEnd w:id="197"/>
    </w:p>
    <w:p>
      <w:pPr>
        <w:numPr>
          <w:ilvl w:val="0"/>
          <w:numId w:val="3"/>
        </w:numPr>
      </w:pPr>
      <w:r>
        <w:rPr/>
        <w:t xml:space="preserve">UMC Utrecht</w:t>
      </w:r>
    </w:p>
    <w:p/>
    <w:p>
      <w:pPr>
        <w:pStyle w:val="Heading1"/>
      </w:pPr>
      <w:bookmarkStart w:id="198" w:name="_Toc198"/>
      <w:r>
        <w:t>3.24 Vermelding van REACH Candidate List stoffen</w:t>
      </w:r>
      <w:bookmarkEnd w:id="198"/>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199" w:name="_Toc199"/>
      <w:r>
        <w:t>Thema's</w:t>
      </w:r>
      <w:bookmarkEnd w:id="199"/>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65.00.00.00 - Disposables</w:t>
      </w:r>
    </w:p>
    <w:p>
      <w:pPr>
        <w:pStyle w:val="Heading2"/>
      </w:pPr>
      <w:bookmarkStart w:id="200" w:name="_Toc200"/>
      <w:r>
        <w:t>Tekst</w:t>
      </w:r>
      <w:bookmarkEnd w:id="200"/>
    </w:p>
    <w:p>
      <w:pPr/>
      <w:r>
        <w:rPr/>
        <w:t xml:space="preserve">Inschrijver rapporteert of in de aangeboden verbruiksartikelen chemische stoffen zijn verwerkt die op de REACH Candidate List staan, conform artikel 33 SVHC.
De inschrijver verstrekt informatie over deze stoffen wanneer de concentratie ervan hoger is dan 0,1% (1.000 mg/kg). Hierbij wordt niet uitgegaan van het volledige product als geheel, maar van de concentratie per afzonderlijk onderdeel, grondstof of materiaalcomponent van het verbruiksartikel.
Wanneer de concentratie van een chemische stof in een onderdeel, grondstof of materiaalcomponent hoger is dan 0,1%, moet de hoeveelheid van deze stof in dat specifieke onderdeel worden opgenomen in de rapportage.</w:t>
      </w:r>
    </w:p>
    <w:p>
      <w:pPr>
        <w:pStyle w:val="Heading2"/>
      </w:pPr>
      <w:bookmarkStart w:id="201" w:name="_Toc201"/>
      <w:r>
        <w:t>Mogelijke bewijsmiddelen</w:t>
      </w:r>
      <w:bookmarkEnd w:id="201"/>
    </w:p>
    <w:p>
      <w:pPr/>
      <w:r>
        <w:rPr/>
        <w:t xml:space="preserve">Rapportage van REACH Candidate List stoffen conform artikel 33 SVHC. Hierbij wordt gebruik gemaak van de lijst die van toepassing op het moment van de aanbesteding of offerte-uitvraag.</w:t>
      </w:r>
    </w:p>
    <w:p>
      <w:pPr>
        <w:pStyle w:val="Heading2"/>
      </w:pPr>
      <w:bookmarkStart w:id="202" w:name="_Toc202"/>
      <w:r>
        <w:t>Wijze van beoordelen</w:t>
      </w:r>
      <w:bookmarkEnd w:id="202"/>
    </w:p>
    <w:p>
      <w:pPr/>
      <w:r>
        <w:rPr/>
        <w:t xml:space="preserve">-</w:t>
      </w:r>
    </w:p>
    <w:p>
      <w:pPr>
        <w:pStyle w:val="Heading2"/>
      </w:pPr>
      <w:bookmarkStart w:id="203" w:name="_Toc203"/>
      <w:r>
        <w:t>Bijbehorende contractbepaling</w:t>
      </w:r>
      <w:bookmarkEnd w:id="203"/>
    </w:p>
    <w:p>
      <w:pPr/>
      <w:r>
        <w:rPr/>
        <w:t xml:space="preserve">Indien tijdens de looptijd van de overeenkomst nieuwe stoffen aan de REACH Candidate List worden toegevoegd, is Inschrijver verplicht om deze aanvullingen alsnog te verwerken in de producten, documentatie en rapportages die onder deze overeenkomst vallen. Inschrijver voert deze aanpassingen uit binnen een termijn van zes (6) maanden na de publicatiedatum van de bijgewerkte REACH Candidate List.</w:t>
      </w:r>
    </w:p>
    <w:p>
      <w:pPr>
        <w:pStyle w:val="Heading2"/>
      </w:pPr>
      <w:bookmarkStart w:id="204" w:name="_Toc204"/>
      <w:r>
        <w:t>Toelichting voor inkopende organisatie</w:t>
      </w:r>
      <w:bookmarkEnd w:id="204"/>
    </w:p>
    <w:p>
      <w:pPr/>
      <w:r>
        <w:rPr/>
        <w:t xml:space="preserve">REACH Candidate List is een lijst van het Europees Agentschap voor Chemische Stoffen (ECHA).
Het zijn stoffen die als “Substances of Very High Concern” (SVHC’s) zijn aangemerkt. Wanneer bedrijven deze stoffen in hun producten verwerken, dienen ze hier transparant over te zijn. (article 59 in Declaration (EG) no. 1907/2006 concerning the registration, evaluation, authorisation and restriction of chemicals).</w:t>
      </w:r>
    </w:p>
    <w:p>
      <w:pPr>
        <w:pStyle w:val="Heading2"/>
      </w:pPr>
      <w:bookmarkStart w:id="205" w:name="_Toc205"/>
      <w:r>
        <w:t>External links</w:t>
      </w:r>
      <w:bookmarkEnd w:id="205"/>
    </w:p>
    <w:p>
      <w:pPr>
        <w:pStyle w:val="Heading2"/>
      </w:pPr>
      <w:bookmarkStart w:id="206" w:name="_Toc206"/>
      <w:r>
        <w:t>Bron</w:t>
      </w:r>
      <w:bookmarkEnd w:id="206"/>
    </w:p>
    <w:p>
      <w:pPr>
        <w:numPr>
          <w:ilvl w:val="0"/>
          <w:numId w:val="3"/>
        </w:numPr>
      </w:pPr>
      <w:r>
        <w:rPr/>
        <w:t xml:space="preserve">Upphandlings Myndigheten</w:t>
      </w:r>
    </w:p>
    <w:p/>
    <w:p>
      <w:pPr>
        <w:pStyle w:val="Heading1"/>
      </w:pPr>
      <w:bookmarkStart w:id="207" w:name="_Toc207"/>
      <w:r>
        <w:t>3.3 Herbruikbare medische artikelen i.p.v. medische wegwerpartikelen</w:t>
      </w:r>
      <w:bookmarkEnd w:id="207"/>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208" w:name="_Toc208"/>
      <w:r>
        <w:t>Thema's</w:t>
      </w:r>
      <w:bookmarkEnd w:id="208"/>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32" o:title=""/>
          </v:shape>
        </w:pict>
      </w:r>
    </w:p>
    <w:p>
      <w:pPr/>
      <w:r>
        <w:rPr>
          <w:b w:val="1"/>
          <w:bCs w:val="1"/>
        </w:rPr>
        <w:t xml:space="preserve">AOC: </w:t>
      </w:r>
      <w:r>
        <w:rPr/>
        <w:t xml:space="preserve">65.00.00.00 - Disposables, 65.04.95.08 - Absorberend incontinentiemateriaal</w:t>
      </w:r>
    </w:p>
    <w:p>
      <w:pPr>
        <w:pStyle w:val="Heading2"/>
      </w:pPr>
      <w:bookmarkStart w:id="209" w:name="_Toc209"/>
      <w:r>
        <w:t>Tekst</w:t>
      </w:r>
      <w:bookmarkEnd w:id="209"/>
    </w:p>
    <w:p>
      <w:pPr/>
      <w:r>
        <w:rPr/>
        <w:t xml:space="preserve">Inschrijver levert herbruikbare medische artikelen in plaats van medische wegwerpartikelen en toont met een levenscyclusanalyse (LCA) aan dat deze herbruikbare artikelen milieuvriendelijker zijn.</w:t>
      </w:r>
    </w:p>
    <w:p>
      <w:pPr>
        <w:pStyle w:val="Heading2"/>
      </w:pPr>
      <w:bookmarkStart w:id="210" w:name="_Toc210"/>
      <w:r>
        <w:t>Mogelijke bewijsmiddelen</w:t>
      </w:r>
      <w:bookmarkEnd w:id="210"/>
    </w:p>
    <w:p>
      <w:pPr/>
      <w:r>
        <w:rPr/>
        <w:t xml:space="preserve">Een levenscyclusanalyse (LCA-rapport) onderbouwt waarom het herbruikbare medische artikel beter is voor het milieu.</w:t>
      </w:r>
    </w:p>
    <w:p>
      <w:pPr>
        <w:pStyle w:val="Heading2"/>
      </w:pPr>
      <w:bookmarkStart w:id="211" w:name="_Toc211"/>
      <w:r>
        <w:t>Wijze van beoordelen</w:t>
      </w:r>
      <w:bookmarkEnd w:id="211"/>
    </w:p>
    <w:p>
      <w:pPr/>
      <w:r>
        <w:rPr/>
        <w:t xml:space="preserve">-</w:t>
      </w:r>
    </w:p>
    <w:p>
      <w:pPr>
        <w:pStyle w:val="Heading2"/>
      </w:pPr>
      <w:bookmarkStart w:id="212" w:name="_Toc212"/>
      <w:r>
        <w:t>Bijbehorende contractbepaling</w:t>
      </w:r>
      <w:bookmarkEnd w:id="212"/>
    </w:p>
    <w:p>
      <w:pPr/>
      <w:r>
        <w:rPr/>
        <w:t xml:space="preserve">-</w:t>
      </w:r>
    </w:p>
    <w:p>
      <w:pPr>
        <w:pStyle w:val="Heading2"/>
      </w:pPr>
      <w:bookmarkStart w:id="213" w:name="_Toc213"/>
      <w:r>
        <w:t>Toelichting voor inkopende organisatie</w:t>
      </w:r>
      <w:bookmarkEnd w:id="213"/>
    </w:p>
    <w:p>
      <w:pPr/>
      <w:r>
        <w:rPr/>
        <w:t xml:space="preserve">Let op: controleer altijd eerst tijdens een marktconsultatie of partijen aan dit criterium kunnen voldoen. In veel medische marktsegmenten is een LCA namelijk nog niet gebruikelijk.
Een levenscyclusanalyse (LCA) is een kwantitatieve methode om de milieu-impact en milieuhotspots over de gehele levenscyclus van een product inzichtelijk te maken.</w:t>
      </w:r>
    </w:p>
    <w:p>
      <w:pPr>
        <w:pStyle w:val="Heading2"/>
      </w:pPr>
      <w:bookmarkStart w:id="214" w:name="_Toc214"/>
      <w:r>
        <w:t>External links</w:t>
      </w:r>
      <w:bookmarkEnd w:id="214"/>
    </w:p>
    <w:p>
      <w:pPr>
        <w:pStyle w:val="Heading2"/>
      </w:pPr>
      <w:bookmarkStart w:id="215" w:name="_Toc215"/>
      <w:r>
        <w:t>Bron</w:t>
      </w:r>
      <w:bookmarkEnd w:id="215"/>
    </w:p>
    <w:p>
      <w:pPr>
        <w:numPr>
          <w:ilvl w:val="0"/>
          <w:numId w:val="3"/>
        </w:numPr>
      </w:pPr>
      <w:r>
        <w:rPr/>
        <w:t xml:space="preserve">Milieu Platform Zorg</w:t>
      </w:r>
    </w:p>
    <w:p/>
    <w:p>
      <w:pPr>
        <w:pStyle w:val="Heading1"/>
      </w:pPr>
      <w:bookmarkStart w:id="216" w:name="_Toc216"/>
      <w:r>
        <w:t>3.4 Klimaatimpact van producten inzichtelijk</w:t>
      </w:r>
      <w:bookmarkEnd w:id="216"/>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217" w:name="_Toc217"/>
      <w:r>
        <w:t>Thema's</w:t>
      </w:r>
      <w:bookmarkEnd w:id="217"/>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65.00.00.00 - Disposables</w:t>
      </w:r>
    </w:p>
    <w:p>
      <w:pPr>
        <w:pStyle w:val="Heading2"/>
      </w:pPr>
      <w:bookmarkStart w:id="218" w:name="_Toc218"/>
      <w:r>
        <w:t>Tekst</w:t>
      </w:r>
      <w:bookmarkEnd w:id="218"/>
    </w:p>
    <w:p>
      <w:pPr/>
      <w:r>
        <w:rPr/>
        <w:t xml:space="preserve">De inschrijving wordt hoger gewaardeerd wanneer klimaatimpact tijdens de levenscyclus van één of meer producten inzichtelijk wordt gemaakt.</w:t>
      </w:r>
    </w:p>
    <w:p>
      <w:pPr>
        <w:pStyle w:val="Heading2"/>
      </w:pPr>
      <w:bookmarkStart w:id="219" w:name="_Toc219"/>
      <w:r>
        <w:t>Mogelijke bewijsmiddelen</w:t>
      </w:r>
      <w:bookmarkEnd w:id="219"/>
    </w:p>
    <w:p>
      <w:pPr/>
      <w:r>
        <w:rPr/>
        <w:t xml:space="preserve">Inschrijver toont klimaatimpact aan door het aanleveren van:
- Een milieuverklaring volgens ISO 14025* Milieu-etiketteringen en -verklaringen - Type III milieuverklaringen - Principes en procedures
- Een CO2-voetafdruk volgens ISO 14067* Broeikasgassen - Carbon footprint van producten - Eisen en richtlijnen voor kwantificering
*De berekening is gebaseerd op de resultaten van een levenscyclusanalyse in overeenstemming met ISO 14044.</w:t>
      </w:r>
    </w:p>
    <w:p>
      <w:pPr>
        <w:pStyle w:val="Heading2"/>
      </w:pPr>
      <w:bookmarkStart w:id="220" w:name="_Toc220"/>
      <w:r>
        <w:t>Wijze van beoordelen</w:t>
      </w:r>
      <w:bookmarkEnd w:id="220"/>
    </w:p>
    <w:p>
      <w:pPr/>
      <w:r>
        <w:rPr/>
        <w:t xml:space="preserve">Nader te bepalen met betrokken projectteam.</w:t>
      </w:r>
    </w:p>
    <w:p>
      <w:pPr>
        <w:pStyle w:val="Heading2"/>
      </w:pPr>
      <w:bookmarkStart w:id="221" w:name="_Toc221"/>
      <w:r>
        <w:t>Bijbehorende contractbepaling</w:t>
      </w:r>
      <w:bookmarkEnd w:id="221"/>
    </w:p>
    <w:p>
      <w:pPr/>
      <w:r>
        <w:rPr/>
        <w:t xml:space="preserve">-</w:t>
      </w:r>
    </w:p>
    <w:p>
      <w:pPr>
        <w:pStyle w:val="Heading2"/>
      </w:pPr>
      <w:bookmarkStart w:id="222" w:name="_Toc222"/>
      <w:r>
        <w:t>Toelichting voor inkopende organisatie</w:t>
      </w:r>
      <w:bookmarkEnd w:id="222"/>
    </w:p>
    <w:p>
      <w:pPr/>
      <w:r>
        <w:rPr/>
        <w:t xml:space="preserve">-</w:t>
      </w:r>
    </w:p>
    <w:p>
      <w:pPr>
        <w:pStyle w:val="Heading2"/>
      </w:pPr>
      <w:bookmarkStart w:id="223" w:name="_Toc223"/>
      <w:r>
        <w:t>External links</w:t>
      </w:r>
      <w:bookmarkEnd w:id="223"/>
    </w:p>
    <w:p>
      <w:hyperlink r:id="rId33" w:history="1">
        <w:r>
          <w:t xml:space="preserve">https://www.nen.nl/nen-en-iso-14025-2010-en-147505</w:t>
        </w:r>
      </w:hyperlink>
    </w:p>
    <w:p>
      <w:hyperlink r:id="rId28" w:history="1">
        <w:r>
          <w:t xml:space="preserve">https://www.nen.nl/nen-en-iso-14067-2018-en-251144</w:t>
        </w:r>
      </w:hyperlink>
    </w:p>
    <w:p>
      <w:pPr>
        <w:pStyle w:val="Heading2"/>
      </w:pPr>
      <w:bookmarkStart w:id="224" w:name="_Toc224"/>
      <w:r>
        <w:t>Bron</w:t>
      </w:r>
      <w:bookmarkEnd w:id="224"/>
    </w:p>
    <w:p>
      <w:pPr>
        <w:numPr>
          <w:ilvl w:val="0"/>
          <w:numId w:val="3"/>
        </w:numPr>
      </w:pPr>
      <w:r>
        <w:rPr/>
        <w:t xml:space="preserve">Upphandlings Myndigheten</w:t>
      </w:r>
    </w:p>
    <w:p/>
    <w:p>
      <w:pPr>
        <w:pStyle w:val="Heading1"/>
      </w:pPr>
      <w:bookmarkStart w:id="225" w:name="_Toc225"/>
      <w:r>
        <w:t>3.5 Bijdrage aan klimaatdoelen</w:t>
      </w:r>
      <w:bookmarkEnd w:id="225"/>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226" w:name="_Toc226"/>
      <w:r>
        <w:t>Thema's</w:t>
      </w:r>
      <w:bookmarkEnd w:id="226"/>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227" w:name="_Toc227"/>
      <w:r>
        <w:t>Tekst</w:t>
      </w:r>
      <w:bookmarkEnd w:id="227"/>
    </w:p>
    <w:p>
      <w:pPr/>
      <w:r>
        <w:rPr/>
        <w:t xml:space="preserve">Inschrijver geeft aan hoe hij tijdens de contractperiode bijdraagt aan de klimaatdoelen van Opdrachtgever die voortkomen uit de Green Deal Duurzame Zorg en het Klimaatakkoord. Inschrijver geeft aan welke maatregelen hij neemt om dit doel te behalen.</w:t>
      </w:r>
    </w:p>
    <w:p>
      <w:pPr>
        <w:pStyle w:val="Heading2"/>
      </w:pPr>
      <w:bookmarkStart w:id="228" w:name="_Toc228"/>
      <w:r>
        <w:t>Mogelijke bewijsmiddelen</w:t>
      </w:r>
      <w:bookmarkEnd w:id="228"/>
    </w:p>
    <w:p>
      <w:pPr/>
      <w:r>
        <w:rPr/>
        <w:t xml:space="preserve">-</w:t>
      </w:r>
    </w:p>
    <w:p>
      <w:pPr>
        <w:pStyle w:val="Heading2"/>
      </w:pPr>
      <w:bookmarkStart w:id="229" w:name="_Toc229"/>
      <w:r>
        <w:t>Wijze van beoordelen</w:t>
      </w:r>
      <w:bookmarkEnd w:id="229"/>
    </w:p>
    <w:p>
      <w:pPr/>
      <w:r>
        <w:rPr/>
        <w:t xml:space="preserve">Beoordeling op de mate waarin de inschrijver:
-	Duidelijk en concreet inzicht geeft in zijn maatregelen
-	Met een onderbouwing aannemelijk maakt dat het haalbaar is dat de maatregelen uitgevoerd worden; en
-	Met een onderbouwing aannemelijk maakt dat de maatregelen bijdragen aan de vermindering van CO2.</w:t>
      </w:r>
    </w:p>
    <w:p>
      <w:pPr>
        <w:pStyle w:val="Heading2"/>
      </w:pPr>
      <w:bookmarkStart w:id="230" w:name="_Toc230"/>
      <w:r>
        <w:t>Bijbehorende contractbepaling</w:t>
      </w:r>
      <w:bookmarkEnd w:id="230"/>
    </w:p>
    <w:p>
      <w:pPr/>
      <w:r>
        <w:rPr/>
        <w:t xml:space="preserve">Zelf invullen op de blauw gearceerde stukken tekst. Inkoper, let op: alleen van toepassing bij een meerjarige contractrelatie.
[Zorgorganisatie] draagt bij aan het realiseren van de klimaatdoelen en geeft invulling aan de verplichtingen uit het klimaatakkoord en de Green Deal Duurzame zorg
Voor de categorie [invullen gebruiksmiddel] is dit vertaald naar de volgende ambitie:
[voeg toe]
Inschrijver dient aan te geven hoe zij hier gedurende de contractperiode concreet aan gaat bijdragen, op welke wijze (welke maatregelen) en met welk (verwacht) resultaat?</w:t>
      </w:r>
    </w:p>
    <w:p>
      <w:pPr>
        <w:pStyle w:val="Heading2"/>
      </w:pPr>
      <w:bookmarkStart w:id="231" w:name="_Toc231"/>
      <w:r>
        <w:t>Toelichting voor inkopende organisatie</w:t>
      </w:r>
      <w:bookmarkEnd w:id="231"/>
    </w:p>
    <w:p>
      <w:pPr/>
      <w:r>
        <w:rPr/>
        <w:t xml:space="preserve">Zelf invullen op de gearceerde stukken tekst
Inkoper, let op: alleen van toepassing bij een meerjarige contractrelatie.</w:t>
      </w:r>
    </w:p>
    <w:p>
      <w:pPr>
        <w:pStyle w:val="Heading2"/>
      </w:pPr>
      <w:bookmarkStart w:id="232" w:name="_Toc232"/>
      <w:r>
        <w:t>External links</w:t>
      </w:r>
      <w:bookmarkEnd w:id="232"/>
    </w:p>
    <w:p>
      <w:pPr>
        <w:pStyle w:val="Heading2"/>
      </w:pPr>
      <w:bookmarkStart w:id="233" w:name="_Toc233"/>
      <w:r>
        <w:t>Bron</w:t>
      </w:r>
      <w:bookmarkEnd w:id="233"/>
    </w:p>
    <w:p>
      <w:pPr>
        <w:numPr>
          <w:ilvl w:val="0"/>
          <w:numId w:val="3"/>
        </w:numPr>
      </w:pPr>
      <w:r>
        <w:rPr/>
        <w:t xml:space="preserve">UMC Utrecht</w:t>
      </w:r>
    </w:p>
    <w:p/>
    <w:p>
      <w:pPr>
        <w:pStyle w:val="Heading1"/>
      </w:pPr>
      <w:bookmarkStart w:id="234" w:name="_Toc234"/>
      <w:r>
        <w:t>3.6 Bijdrage aan circulariteitsdoelen</w:t>
      </w:r>
      <w:bookmarkEnd w:id="234"/>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235" w:name="_Toc235"/>
      <w:r>
        <w:t>Thema's</w:t>
      </w:r>
      <w:bookmarkEnd w:id="235"/>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236" w:name="_Toc236"/>
      <w:r>
        <w:t>Tekst</w:t>
      </w:r>
      <w:bookmarkEnd w:id="236"/>
    </w:p>
    <w:p>
      <w:pPr/>
      <w:r>
        <w:rPr/>
        <w:t xml:space="preserve">Inschrijver geeft aan hoe hij tijdens de contractperiode bijdraagt aan de circulaire economie en hoe hij de uitputting van primaire grondstoffen (olie, gas, steen, etc.) voorkomt, dit moet in lijn zijn met de doelen uit de Green Deal Duurzame Zorg. Inschrijver en Opdrachtgever bepalen voor het product een circulariteitsdoel, waarna Inschrijver concreet aangeeft welke maatregelen hij neemt om dit doel te behalen en welk resultaat hij verwacht.</w:t>
      </w:r>
    </w:p>
    <w:p>
      <w:pPr>
        <w:pStyle w:val="Heading2"/>
      </w:pPr>
      <w:bookmarkStart w:id="237" w:name="_Toc237"/>
      <w:r>
        <w:t>Mogelijke bewijsmiddelen</w:t>
      </w:r>
      <w:bookmarkEnd w:id="237"/>
    </w:p>
    <w:p>
      <w:pPr/>
      <w:r>
        <w:rPr/>
        <w:t xml:space="preserve">-</w:t>
      </w:r>
    </w:p>
    <w:p>
      <w:pPr>
        <w:pStyle w:val="Heading2"/>
      </w:pPr>
      <w:bookmarkStart w:id="238" w:name="_Toc238"/>
      <w:r>
        <w:t>Wijze van beoordelen</w:t>
      </w:r>
      <w:bookmarkEnd w:id="238"/>
    </w:p>
    <w:p>
      <w:pPr/>
      <w:r>
        <w:rPr/>
        <w:t xml:space="preserve">Beoordeling op de mate waarin de inschrijver:-&amp;nbsp;&amp;nbsp;&amp;nbsp;&amp;nbsp;Duidelijk en concreet inzicht geeft in zijn maatregelen-&amp;nbsp;&amp;nbsp;&amp;nbsp;&amp;nbsp;Met een onderbouwing aannemelijk maakt dat het haalbaar is dat de maatregelen uitgevoerd worden; en-&amp;nbsp;&amp;nbsp;&amp;nbsp;&amp;nbsp;Met een onderbouwing aannemelijk maakt dat de maatregelen bijdragen aan het doel.</w:t>
      </w:r>
    </w:p>
    <w:p>
      <w:pPr>
        <w:pStyle w:val="Heading2"/>
      </w:pPr>
      <w:bookmarkStart w:id="239" w:name="_Toc239"/>
      <w:r>
        <w:t>Bijbehorende contractbepaling</w:t>
      </w:r>
      <w:bookmarkEnd w:id="239"/>
    </w:p>
    <w:p>
      <w:pPr/>
      <w:r>
        <w:rPr/>
        <w:t xml:space="preserve">-</w:t>
      </w:r>
    </w:p>
    <w:p>
      <w:pPr>
        <w:pStyle w:val="Heading2"/>
      </w:pPr>
      <w:bookmarkStart w:id="240" w:name="_Toc240"/>
      <w:r>
        <w:t>Toelichting voor inkopende organisatie</w:t>
      </w:r>
      <w:bookmarkEnd w:id="240"/>
    </w:p>
    <w:p>
      <w:pPr/>
      <w:r>
        <w:rPr/>
        <w:t xml:space="preserve">Let op: alleen van toepassing bij een meerjarige contractrelatie. Inkopende organisatie kan ervoor kiezen de volgende tekst over te nemen. &amp;nbsp;Zelf invullen: [tekst tussen haken].&amp;nbsp;[Zorgorganisatie] draagt bij aan de circulaire economie door uitputting van (kostbare) primaire grondstoffen te voorkomen conform de doelen uit de Green Deal Duurzame zorg. Voor de categorie [invullen product is dit vertaald naar de volgende ambities: [voeg toe] Inschrijver dient aan te geven hoe zij hier gedurende de contractperiode concreet aan gaat bijdragen, op welke wijze (welke maatregelen) en met welk (verwacht) resultaat?</w:t>
      </w:r>
    </w:p>
    <w:p>
      <w:pPr>
        <w:pStyle w:val="Heading2"/>
      </w:pPr>
      <w:bookmarkStart w:id="241" w:name="_Toc241"/>
      <w:r>
        <w:t>External links</w:t>
      </w:r>
      <w:bookmarkEnd w:id="241"/>
    </w:p>
    <w:p>
      <w:pPr>
        <w:pStyle w:val="Heading2"/>
      </w:pPr>
      <w:bookmarkStart w:id="242" w:name="_Toc242"/>
      <w:r>
        <w:t>Bron</w:t>
      </w:r>
      <w:bookmarkEnd w:id="242"/>
    </w:p>
    <w:p>
      <w:pPr>
        <w:numPr>
          <w:ilvl w:val="0"/>
          <w:numId w:val="3"/>
        </w:numPr>
      </w:pPr>
      <w:r>
        <w:rPr/>
        <w:t xml:space="preserve">UMC Utrecht</w:t>
      </w:r>
    </w:p>
    <w:p/>
    <w:p>
      <w:pPr>
        <w:pStyle w:val="Heading1"/>
      </w:pPr>
      <w:bookmarkStart w:id="243" w:name="_Toc243"/>
      <w:r>
        <w:t>3.7 Circulair Product Paspoort wordt hoger gewaardeerd</w:t>
      </w:r>
      <w:bookmarkEnd w:id="243"/>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244" w:name="_Toc244"/>
      <w:r>
        <w:t>Thema's</w:t>
      </w:r>
      <w:bookmarkEnd w:id="244"/>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245" w:name="_Toc245"/>
      <w:r>
        <w:t>Tekst</w:t>
      </w:r>
      <w:bookmarkEnd w:id="245"/>
    </w:p>
    <w:p>
      <w:pPr/>
      <w:r>
        <w:rPr/>
        <w:t xml:space="preserve">Wanneer Inschrijver alleen producten aanbiedt met een Circulair Product Paspoort, ook wel grondstoffen- of materialenpaspoort genoemd, wordt dit in de aanbesteding hoger gewaardeerd. Een Circulair Product Paspoort bevat ten minste:-&amp;nbsp;&amp;nbsp;&amp;nbsp;&amp;nbsp;De productgroep van het geleverde product-&amp;nbsp;&amp;nbsp;&amp;nbsp;&amp;nbsp;De gebruikte grondstoffen en materialenEen Circulair Product Paspoort mag ook digitaal geleverd worden, via bijvoorbeeld een online portal of blockchain-tool.Het Circulair Product Paspoort omvat in ieder geval onderstaande elementen:A. GrondstoffenB. Milieu impactC. Waardebehoud</w:t>
      </w:r>
    </w:p>
    <w:p>
      <w:pPr>
        <w:pStyle w:val="Heading2"/>
      </w:pPr>
      <w:bookmarkStart w:id="246" w:name="_Toc246"/>
      <w:r>
        <w:t>Mogelijke bewijsmiddelen</w:t>
      </w:r>
      <w:bookmarkEnd w:id="246"/>
    </w:p>
    <w:p>
      <w:pPr/>
      <w:r>
        <w:rPr/>
        <w:t xml:space="preserve">Circulair productpaspoort (of een soortgelijk bewijsmiddel) van alle producten.</w:t>
      </w:r>
    </w:p>
    <w:p>
      <w:pPr>
        <w:pStyle w:val="Heading2"/>
      </w:pPr>
      <w:bookmarkStart w:id="247" w:name="_Toc247"/>
      <w:r>
        <w:t>Wijze van beoordelen</w:t>
      </w:r>
      <w:bookmarkEnd w:id="247"/>
    </w:p>
    <w:p>
      <w:pPr/>
      <w:r>
        <w:rPr/>
        <w:t xml:space="preserve">-</w:t>
      </w:r>
    </w:p>
    <w:p>
      <w:pPr>
        <w:pStyle w:val="Heading2"/>
      </w:pPr>
      <w:bookmarkStart w:id="248" w:name="_Toc248"/>
      <w:r>
        <w:t>Bijbehorende contractbepaling</w:t>
      </w:r>
      <w:bookmarkEnd w:id="248"/>
    </w:p>
    <w:p>
      <w:pPr/>
      <w:r>
        <w:rPr/>
        <w:t xml:space="preserve">-</w:t>
      </w:r>
    </w:p>
    <w:p>
      <w:pPr>
        <w:pStyle w:val="Heading2"/>
      </w:pPr>
      <w:bookmarkStart w:id="249" w:name="_Toc249"/>
      <w:r>
        <w:t>Toelichting voor inkopende organisatie</w:t>
      </w:r>
      <w:bookmarkEnd w:id="249"/>
    </w:p>
    <w:p>
      <w:pPr/>
      <w:r>
        <w:rPr/>
        <w:t xml:space="preserve">Let op: alleen van toepassing bij een meerjarige contractrelatie.Het Circulair Product Paspoort omvat in ieder geval de onderstaande elementen:A. GrondstoffenA1. GrondstoffensamenstellingA1.1 Een lijst met alle grondstoffen in gram verwerkt in het product.A1.2 Een lijst met alle gerecyclede grondstoffen in gram verwerkt in het product en in % van het totale gewicht.A1.3 Een lijst met alle kritieke grondstoffen in gram verwerkt in het product. Met kritieke grondstoffen wordt bedoeld: De 26 kritieke grondstoffen genoemd in de lijst van de Europese commissie: Study on the review of the list of Critical Raw Materials, European Commission, blz 11.A1.4 Een lijst met alle Zeer Zorgwekkende stoffen (ZZS) in gram verwerkt in het product. Het aantal tot nu toe geïdentificeerde ZZS is 1576. Deze zijn verzameld op de ZZS-lijst van de RIVM website Risico’s van Stoffen. Deze lijst wordt tweemaal per jaar bijgewerkt.A2. Terugwinning van grondstoffen bij recyclingA2.1 Een lijst met alle teruggewonnen grondstoffen in gram en als percentage (%) ten opzichte van de oorspronkelijke hoeveelheid gram die verwerkt was in het product.A2.2 Een lijst met alle teruggewonnen kritieke grondstoffen in gram en als percentage (%) ten opzichte van de oorspronkelijke hoeveelheid gram die verwerkt was in het product.A3. HulpgrondstoffensamenstellingA3.1 Een lijst met benodigde hulpgrondstoffen in gram gedurende de gehele levenscyclus. Hulpgrondstoffen (hulpbronnen) zijn grondstoffen die benodigd zijn om het product te produceren, maar dit zijn niet de grondstoffen die in het product zelf verwerkt zijn.Hulpgrondstoffen zijn onder andere: machines, gebouwen, voertuigen, ondersteunend materieel, fossiele brandstoffen, water, zand, residu’s van smelterijen en raffinaderijen, complexe mijnconcentraten en residu’s, productieafvalB. Milieu impactB1. Levens Cyclus Analyse (LCA) conform MVI criterium ‘Levenscyclusanalyse (LCA) is verplicht’. De LCA-resultaten omvatten ten minste de klimaatimpact, ofwel carbon footprint, uitgedrukt in CO2-equivalenten, berekend volgens de richtlijnen van het Greenhouse Gas Protocol: 'Product Life Cycle Accounting and Reporting Standard' of soortgelijke richtlijnen die de scope duidelijk afbakenen.B2. De impact van de levenscyclus van een product op de biodiversiteit. Biodiversiteit is een term die we gebruiken om de rijkdom van de natuur aan te duiden. Het gaat om de grote verscheidenheid aan dieren, planten, schimmels en habitats en ecosystemen.Twee methodieken om de impact van bedrijven of hun producten en diensten op biodiversiteit te bepalen zijn GLOBIO en ReCiPe. Voor meer informatie verwijzen wij u tevens naar het onderzoek in opdracht van Platform Biodiversiteit, Ecosystemen en Economie.C. WaardebehoudC1. LevensduurC1.1 De werkelijke levensduur in jaren inclusief (eventueel) hergebruik. De levensduur is de totale gebruiksfase van het product in jaren.C1.2 Productgarantie in jaren (mogelijk wettelijk vastgesteld).C1.3 Aantal jaren aangeboden volledige product support zoals (preventief) onderhoud, reparatie, beschikbaarheid van reserve-onderdelen.C1.4 Aantal jaren aangeboden software support (updates en upgrades).C2. Toepassing van hergebruik onderdelenC2.1 Een toelichting m.b.t. in hoeverre er onderdelen van het product kunnen worden hergebruikt en/of worden hergebruikt op het moment dat het gehele product niet meer bruikbaar is. Bijvoorbeeld % hergebruik van onderdelen, lijst met hergebruikte onderdelen, toepassing van hergebruik van onderdelen.C3. Toepassing van gerecyclede grondstoffenC3.1 Een toelichting m.b.t. voor welke toepassing de teruggewonnen grondstoffen d.m.v. recycling gebruikt zijn. In hoeverre zijn de gerecyclede grondstoffen gebruikt voor een hoogwaardiger, zelfde of laagwaardiger toepassing.C4. Toepassing van alternatieve grondstoffenC4.1 Een toelichting aangaande het toepassen van alternatieve (hulp-)grondstoffen ter vervanging van gebruikte kritieke en schaarse grondstoffen.</w:t>
      </w:r>
    </w:p>
    <w:p>
      <w:pPr>
        <w:pStyle w:val="Heading2"/>
      </w:pPr>
      <w:bookmarkStart w:id="250" w:name="_Toc250"/>
      <w:r>
        <w:t>External links</w:t>
      </w:r>
      <w:bookmarkEnd w:id="250"/>
    </w:p>
    <w:p>
      <w:pPr>
        <w:pStyle w:val="Heading2"/>
      </w:pPr>
      <w:bookmarkStart w:id="251" w:name="_Toc251"/>
      <w:r>
        <w:t>Bron</w:t>
      </w:r>
      <w:bookmarkEnd w:id="251"/>
    </w:p>
    <w:p>
      <w:pPr>
        <w:numPr>
          <w:ilvl w:val="0"/>
          <w:numId w:val="3"/>
        </w:numPr>
      </w:pPr>
      <w:r>
        <w:rPr/>
        <w:t xml:space="preserve">MVI criteria tool</w:t>
      </w:r>
    </w:p>
    <w:p/>
    <w:p>
      <w:pPr>
        <w:pStyle w:val="Heading1"/>
      </w:pPr>
      <w:bookmarkStart w:id="252" w:name="_Toc252"/>
      <w:r>
        <w:t>3.8 Verduurzaming assortiment</w:t>
      </w:r>
      <w:bookmarkEnd w:id="252"/>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253" w:name="_Toc253"/>
      <w:r>
        <w:t>Thema's</w:t>
      </w:r>
      <w:bookmarkEnd w:id="253"/>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254" w:name="_Toc254"/>
      <w:r>
        <w:t>Tekst</w:t>
      </w:r>
      <w:bookmarkEnd w:id="254"/>
    </w:p>
    <w:p>
      <w:pPr/>
      <w:r>
        <w:rPr/>
        <w:t xml:space="preserve">10% van het assortiment bestaat uit duurzaam gecertificeerde producten die voldoen aan minimaal één van de volgende eisen:
- Bestaat 100% uit gerecycled materiaal
- Heeft een erkend keurmerk
- Product is duurzamer dan een ander vergelijkbaar product of het huidige product in het aangeboden assortiment van de Opdrachtgever.</w:t>
      </w:r>
    </w:p>
    <w:p>
      <w:pPr>
        <w:pStyle w:val="Heading2"/>
      </w:pPr>
      <w:bookmarkStart w:id="255" w:name="_Toc255"/>
      <w:r>
        <w:t>Mogelijke bewijsmiddelen</w:t>
      </w:r>
      <w:bookmarkEnd w:id="255"/>
    </w:p>
    <w:p>
      <w:pPr/>
      <w:r>
        <w:rPr/>
        <w:t xml:space="preserve">-</w:t>
      </w:r>
    </w:p>
    <w:p>
      <w:pPr>
        <w:pStyle w:val="Heading2"/>
      </w:pPr>
      <w:bookmarkStart w:id="256" w:name="_Toc256"/>
      <w:r>
        <w:t>Wijze van beoordelen</w:t>
      </w:r>
      <w:bookmarkEnd w:id="256"/>
    </w:p>
    <w:p>
      <w:pPr/>
      <w:r>
        <w:rPr/>
        <w:t xml:space="preserve">Een overzicht van het assortiment waarop dit van toepassing is.</w:t>
      </w:r>
    </w:p>
    <w:p>
      <w:pPr>
        <w:pStyle w:val="Heading2"/>
      </w:pPr>
      <w:bookmarkStart w:id="257" w:name="_Toc257"/>
      <w:r>
        <w:t>Bijbehorende contractbepaling</w:t>
      </w:r>
      <w:bookmarkEnd w:id="257"/>
    </w:p>
    <w:p>
      <w:pPr/>
      <w:r>
        <w:rPr/>
        <w:t xml:space="preserve">De opdrachtnemer en opdrachtgever verplichten zich ertoe om gedurende de looptijd van het contract het assortiment stapsgewijs te verduurzamen. Uiterlijk bij afloop van de contractperiode dient ten minste 10% van het aangeboden assortiment te bestaan uit producten die aantoonbaar duurzaam zijn. Deze producten voldoen aan ten minste één van de volgende criteria:
Bestaan voor 100% uit gerecycled materiaal;
Zijn voorzien van een erkend duurzaamheidskeurmerk (zoals EU Ecolabel, FSC, Cradle to Cradle, etc.);
Zijn aantoonbaar duurzamer dan andere vergelijkbare producten binnen het assortiment.
Ter monitoring van de voortgang vindt jaarlijks een evaluatiemoment plaats, waarin de opdrachtnemer en opdrachtgever rapporteert over de genomen stappen en behaalde resultaten met betrekking tot de verduurzaming van het assortiment. De opdrachtgever behoudt zich het recht voor om op basis van deze evaluatie aanvullende maatregelen of afspraken voor de resterende contractperiode te treffen.</w:t>
      </w:r>
    </w:p>
    <w:p>
      <w:pPr>
        <w:pStyle w:val="Heading2"/>
      </w:pPr>
      <w:bookmarkStart w:id="258" w:name="_Toc258"/>
      <w:r>
        <w:t>Toelichting voor inkopende organisatie</w:t>
      </w:r>
      <w:bookmarkEnd w:id="258"/>
    </w:p>
    <w:p>
      <w:pPr/>
      <w:r>
        <w:rPr/>
        <w:t xml:space="preserve">Afhankelijk van het ambitieniveau van opdrachtgever kan het percentage worden aangepast.</w:t>
      </w:r>
    </w:p>
    <w:p>
      <w:pPr>
        <w:pStyle w:val="Heading2"/>
      </w:pPr>
      <w:bookmarkStart w:id="259" w:name="_Toc259"/>
      <w:r>
        <w:t>External links</w:t>
      </w:r>
      <w:bookmarkEnd w:id="259"/>
    </w:p>
    <w:p>
      <w:pPr>
        <w:pStyle w:val="Heading2"/>
      </w:pPr>
      <w:bookmarkStart w:id="260" w:name="_Toc260"/>
      <w:r>
        <w:t>Bron</w:t>
      </w:r>
      <w:bookmarkEnd w:id="260"/>
    </w:p>
    <w:p>
      <w:pPr>
        <w:numPr>
          <w:ilvl w:val="0"/>
          <w:numId w:val="3"/>
        </w:numPr>
      </w:pPr>
      <w:r>
        <w:rPr/>
        <w:t xml:space="preserve">NHS</w:t>
      </w:r>
    </w:p>
    <w:p/>
    <w:p>
      <w:pPr>
        <w:pStyle w:val="Heading1"/>
      </w:pPr>
      <w:bookmarkStart w:id="261" w:name="_Toc261"/>
      <w:r>
        <w:t>3.9 Verduurzaming assortiment</w:t>
      </w:r>
      <w:bookmarkEnd w:id="261"/>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262" w:name="_Toc262"/>
      <w:r>
        <w:t>Thema's</w:t>
      </w:r>
      <w:bookmarkEnd w:id="262"/>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263" w:name="_Toc263"/>
      <w:r>
        <w:t>Tekst</w:t>
      </w:r>
      <w:bookmarkEnd w:id="263"/>
    </w:p>
    <w:p>
      <w:pPr/>
      <w:r>
        <w:rPr/>
        <w:t xml:space="preserve">10% van de kernproducten wordt vervangen door duurzamere alternatieven, zonder dat dit meer kost (op kostenneutrale basis).</w:t>
      </w:r>
    </w:p>
    <w:p>
      <w:pPr>
        <w:pStyle w:val="Heading2"/>
      </w:pPr>
      <w:bookmarkStart w:id="264" w:name="_Toc264"/>
      <w:r>
        <w:t>Mogelijke bewijsmiddelen</w:t>
      </w:r>
      <w:bookmarkEnd w:id="264"/>
    </w:p>
    <w:p>
      <w:pPr/>
      <w:r>
        <w:rPr/>
        <w:t xml:space="preserve">-</w:t>
      </w:r>
    </w:p>
    <w:p>
      <w:pPr>
        <w:pStyle w:val="Heading2"/>
      </w:pPr>
      <w:bookmarkStart w:id="265" w:name="_Toc265"/>
      <w:r>
        <w:t>Wijze van beoordelen</w:t>
      </w:r>
      <w:bookmarkEnd w:id="265"/>
    </w:p>
    <w:p>
      <w:pPr/>
      <w:r>
        <w:rPr/>
        <w:t xml:space="preserve">-</w:t>
      </w:r>
    </w:p>
    <w:p>
      <w:pPr>
        <w:pStyle w:val="Heading2"/>
      </w:pPr>
      <w:bookmarkStart w:id="266" w:name="_Toc266"/>
      <w:r>
        <w:t>Bijbehorende contractbepaling</w:t>
      </w:r>
      <w:bookmarkEnd w:id="266"/>
    </w:p>
    <w:p>
      <w:pPr/>
      <w:r>
        <w:rPr/>
        <w:t xml:space="preserve">-</w:t>
      </w:r>
    </w:p>
    <w:p>
      <w:pPr>
        <w:pStyle w:val="Heading2"/>
      </w:pPr>
      <w:bookmarkStart w:id="267" w:name="_Toc267"/>
      <w:r>
        <w:t>Toelichting voor inkopende organisatie</w:t>
      </w:r>
      <w:bookmarkEnd w:id="267"/>
    </w:p>
    <w:p>
      <w:pPr/>
      <w:r>
        <w:rPr/>
        <w:t xml:space="preserve">Het gaat hier om het huidige assortiment van de Opdrachtgever dat wordt afgenomen bij de Inschrijver. Het duurzame alternatief mag niet duurder zijn dan het oorspronkelijke product. Afhankelijk van het ambitieniveau van Opdrachtgever kan het percentage worden aangepast.</w:t>
      </w:r>
    </w:p>
    <w:p>
      <w:pPr>
        <w:pStyle w:val="Heading2"/>
      </w:pPr>
      <w:bookmarkStart w:id="268" w:name="_Toc268"/>
      <w:r>
        <w:t>External links</w:t>
      </w:r>
      <w:bookmarkEnd w:id="268"/>
    </w:p>
    <w:p>
      <w:pPr>
        <w:pStyle w:val="Heading2"/>
      </w:pPr>
      <w:bookmarkStart w:id="269" w:name="_Toc269"/>
      <w:r>
        <w:t>Bron</w:t>
      </w:r>
      <w:bookmarkEnd w:id="269"/>
    </w:p>
    <w:p>
      <w:pPr>
        <w:numPr>
          <w:ilvl w:val="0"/>
          <w:numId w:val="3"/>
        </w:numPr>
      </w:pPr>
      <w:r>
        <w:rPr/>
        <w:t xml:space="preserve">NHS</w:t>
      </w:r>
    </w:p>
    <w:p/>
    <w:p>
      <w:pPr>
        <w:pStyle w:val="Heading1"/>
      </w:pPr>
      <w:bookmarkStart w:id="270" w:name="_Toc270"/>
      <w:r>
        <w:t>4.1 Milieumanagementsysteem</w:t>
      </w:r>
      <w:bookmarkEnd w:id="270"/>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271" w:name="_Toc271"/>
      <w:r>
        <w:t>Thema's</w:t>
      </w:r>
      <w:bookmarkEnd w:id="271"/>
    </w:p>
    <w:p>
      <w:pPr/>
      <w:r>
        <w:pict>
          <v:shape type="#_x0000_t75" stroked="f" style="width:47.376623376623pt; height:48pt; margin-left:0pt; margin-top:0pt; mso-position-horizontal:left; mso-position-vertical:top; mso-position-horizontal-relative:char; mso-position-vertical-relative:line;">
            <w10:wrap type="inline"/>
            <v:imagedata r:id="rId19"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72" w:name="_Toc272"/>
      <w:r>
        <w:t>Tekst</w:t>
      </w:r>
      <w:bookmarkEnd w:id="272"/>
    </w:p>
    <w:p>
      <w:pPr/>
      <w:r>
        <w:rPr/>
        <w:t xml:space="preserve">Het betrokken departement of de betrokken departementen van de organisatie beschikken over een milieumanagementsysteem.</w:t>
      </w:r>
    </w:p>
    <w:p>
      <w:pPr>
        <w:pStyle w:val="Heading2"/>
      </w:pPr>
      <w:bookmarkStart w:id="273" w:name="_Toc273"/>
      <w:r>
        <w:t>Mogelijke bewijsmiddelen</w:t>
      </w:r>
      <w:bookmarkEnd w:id="273"/>
    </w:p>
    <w:p>
      <w:pPr/>
      <w:r>
        <w:rPr/>
        <w:t xml:space="preserve">EMAS-certificaat, ISO 14001 Milieumanagement  of een gelijkwaardig certificaat
Verklaring waaruit blijkt dat milieumanagement structureel onderdeel uitmaakt van de dagelijkse bedrijfsvoering. Deze verklaring wordt afgegeven door een onafhankelijke auditor, accountant of (geaccrediteerde) certificatie-instelling met aantoonbare deskundigheid, of een gelijkwaardige partij</w:t>
      </w:r>
    </w:p>
    <w:p>
      <w:pPr>
        <w:pStyle w:val="Heading2"/>
      </w:pPr>
      <w:bookmarkStart w:id="274" w:name="_Toc274"/>
      <w:r>
        <w:t>Wijze van beoordelen</w:t>
      </w:r>
      <w:bookmarkEnd w:id="274"/>
    </w:p>
    <w:p>
      <w:pPr/>
      <w:r>
        <w:rPr/>
        <w:t xml:space="preserve">-</w:t>
      </w:r>
    </w:p>
    <w:p>
      <w:pPr>
        <w:pStyle w:val="Heading2"/>
      </w:pPr>
      <w:bookmarkStart w:id="275" w:name="_Toc275"/>
      <w:r>
        <w:t>Bijbehorende contractbepaling</w:t>
      </w:r>
      <w:bookmarkEnd w:id="275"/>
    </w:p>
    <w:p>
      <w:pPr/>
      <w:r>
        <w:rPr/>
        <w:t xml:space="preserve">-</w:t>
      </w:r>
    </w:p>
    <w:p>
      <w:pPr>
        <w:pStyle w:val="Heading2"/>
      </w:pPr>
      <w:bookmarkStart w:id="276" w:name="_Toc276"/>
      <w:r>
        <w:t>Toelichting voor inkopende organisatie</w:t>
      </w:r>
      <w:bookmarkEnd w:id="276"/>
    </w:p>
    <w:p>
      <w:pPr/>
      <w:r>
        <w:rPr/>
        <w:t xml:space="preserve">Let op: het is verstandig van tevoren te achterhalen of partijen aan deze eis kunnen voldoen. Het beschikken over een milieumanagementsysteem is namelijk niet in alle marktsegmenten gangbaar.</w:t>
      </w:r>
    </w:p>
    <w:p>
      <w:pPr>
        <w:pStyle w:val="Heading2"/>
      </w:pPr>
      <w:bookmarkStart w:id="277" w:name="_Toc277"/>
      <w:r>
        <w:t>External links</w:t>
      </w:r>
      <w:bookmarkEnd w:id="277"/>
    </w:p>
    <w:p>
      <w:hyperlink r:id="rId34" w:history="1">
        <w:r>
          <w:t xml:space="preserve">https://www.nen.nl/milieu/milieumanagement</w:t>
        </w:r>
      </w:hyperlink>
    </w:p>
    <w:p>
      <w:pPr>
        <w:pStyle w:val="Heading2"/>
      </w:pPr>
      <w:bookmarkStart w:id="278" w:name="_Toc278"/>
      <w:r>
        <w:t>Bron</w:t>
      </w:r>
      <w:bookmarkEnd w:id="278"/>
    </w:p>
    <w:p>
      <w:pPr>
        <w:numPr>
          <w:ilvl w:val="0"/>
          <w:numId w:val="3"/>
        </w:numPr>
      </w:pPr>
      <w:r>
        <w:rPr/>
        <w:t xml:space="preserve">UMC Utrecht</w:t>
      </w:r>
    </w:p>
    <w:p>
      <w:pPr>
        <w:numPr>
          <w:ilvl w:val="0"/>
          <w:numId w:val="3"/>
        </w:numPr>
      </w:pPr>
      <w:r>
        <w:rPr/>
        <w:t xml:space="preserve">MVI criteria tool en Milieu Platform Zorg</w:t>
      </w:r>
    </w:p>
    <w:p/>
    <w:p>
      <w:pPr>
        <w:pStyle w:val="Heading1"/>
      </w:pPr>
      <w:bookmarkStart w:id="279" w:name="_Toc279"/>
      <w:r>
        <w:t>4.2 CO2 reductieplan</w:t>
      </w:r>
      <w:bookmarkEnd w:id="279"/>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280" w:name="_Toc280"/>
      <w:r>
        <w:t>Thema's</w:t>
      </w:r>
      <w:bookmarkEnd w:id="280"/>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81" w:name="_Toc281"/>
      <w:r>
        <w:t>Tekst</w:t>
      </w:r>
      <w:bookmarkEnd w:id="281"/>
    </w:p>
    <w:p>
      <w:pPr/>
      <w:r>
        <w:rPr/>
        <w:t xml:space="preserve">Inschrijver levert een CO2-reductieplan aan. In dit plan geeft hij inzage in zijn CO2-voetafdruk en de maatregelen die hij neemt om deze te verkleinen. Ook licht hij toe hoe hij zich committeert aan het nationaal afgesproken doel om CO2 te verminderen: 49% minder uitstoot in 2030 en 95% minder in 2050.</w:t>
      </w:r>
    </w:p>
    <w:p>
      <w:pPr>
        <w:pStyle w:val="Heading2"/>
      </w:pPr>
      <w:bookmarkStart w:id="282" w:name="_Toc282"/>
      <w:r>
        <w:t>Mogelijke bewijsmiddelen</w:t>
      </w:r>
      <w:bookmarkEnd w:id="282"/>
    </w:p>
    <w:p>
      <w:pPr/>
      <w:r>
        <w:rPr/>
        <w:t xml:space="preserve">Link naar een gepubliceerd CO2 reductieplan, of een ISO 14001 certificaat met bewijs dat CO2 reductie in scope is opgenomen, of een certificaat van de CO2 prestatieladder versie 3.1; niveau 3 of hoger. Voor Co2-prestatieladder versie 4.0 een certificaat  trede 1 akkoord.</w:t>
      </w:r>
    </w:p>
    <w:p>
      <w:pPr>
        <w:pStyle w:val="Heading2"/>
      </w:pPr>
      <w:bookmarkStart w:id="283" w:name="_Toc283"/>
      <w:r>
        <w:t>Wijze van beoordelen</w:t>
      </w:r>
      <w:bookmarkEnd w:id="283"/>
    </w:p>
    <w:p>
      <w:pPr/>
      <w:r>
        <w:rPr/>
        <w:t xml:space="preserve">-</w:t>
      </w:r>
    </w:p>
    <w:p>
      <w:pPr>
        <w:pStyle w:val="Heading2"/>
      </w:pPr>
      <w:bookmarkStart w:id="284" w:name="_Toc284"/>
      <w:r>
        <w:t>Bijbehorende contractbepaling</w:t>
      </w:r>
      <w:bookmarkEnd w:id="284"/>
    </w:p>
    <w:p>
      <w:pPr/>
      <w:r>
        <w:rPr/>
        <w:t xml:space="preserve">-</w:t>
      </w:r>
    </w:p>
    <w:p>
      <w:pPr>
        <w:pStyle w:val="Heading2"/>
      </w:pPr>
      <w:bookmarkStart w:id="285" w:name="_Toc285"/>
      <w:r>
        <w:t>Toelichting voor inkopende organisatie</w:t>
      </w:r>
      <w:bookmarkEnd w:id="285"/>
    </w:p>
    <w:p>
      <w:pPr/>
      <w:r>
        <w:rPr/>
        <w:t xml:space="preserve">Let op: het is verstandig om vooraf te toetsen of de aanbieder aan deze eis kan voldoen. Het hebben van een CO2-reductieplan is namelijk niet in alle marktsegmenten gangbaar.
Inschrijving voldoet ook aan deze eis wanneer:
- Inschrijver deelneemt aan de CO2-prestatieladder en een certificaat heeft. Meer info: zie link
- Inschrijver een ISO 14001 Milieumanagement certificatie heeft en kan aantonen dat CO2-reductie daarin is opgenomen.</w:t>
      </w:r>
    </w:p>
    <w:p>
      <w:pPr>
        <w:pStyle w:val="Heading2"/>
      </w:pPr>
      <w:bookmarkStart w:id="286" w:name="_Toc286"/>
      <w:r>
        <w:t>External links</w:t>
      </w:r>
      <w:bookmarkEnd w:id="286"/>
    </w:p>
    <w:p>
      <w:hyperlink r:id="rId35" w:history="1">
        <w:r>
          <w:t xml:space="preserve">https://www.co2-prestatieladder.nl/</w:t>
        </w:r>
      </w:hyperlink>
    </w:p>
    <w:p>
      <w:hyperlink r:id="rId34" w:history="1">
        <w:r>
          <w:t xml:space="preserve">https://www.nen.nl/milieu/milieumanagement</w:t>
        </w:r>
      </w:hyperlink>
    </w:p>
    <w:p>
      <w:pPr>
        <w:pStyle w:val="Heading2"/>
      </w:pPr>
      <w:bookmarkStart w:id="287" w:name="_Toc287"/>
      <w:r>
        <w:t>Bron</w:t>
      </w:r>
      <w:bookmarkEnd w:id="287"/>
    </w:p>
    <w:p>
      <w:pPr>
        <w:numPr>
          <w:ilvl w:val="0"/>
          <w:numId w:val="3"/>
        </w:numPr>
      </w:pPr>
      <w:r>
        <w:rPr/>
        <w:t xml:space="preserve">NHS</w:t>
      </w:r>
    </w:p>
    <w:p>
      <w:pPr>
        <w:numPr>
          <w:ilvl w:val="0"/>
          <w:numId w:val="3"/>
        </w:numPr>
      </w:pPr>
      <w:r>
        <w:rPr/>
        <w:t xml:space="preserve">UMC Utrecht</w:t>
      </w:r>
    </w:p>
    <w:p/>
    <w:p>
      <w:pPr>
        <w:pStyle w:val="Heading1"/>
      </w:pPr>
      <w:bookmarkStart w:id="288" w:name="_Toc288"/>
      <w:r>
        <w:t>4.3 MVO-monitoringssysteem</w:t>
      </w:r>
      <w:bookmarkEnd w:id="288"/>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289" w:name="_Toc289"/>
      <w:r>
        <w:t>Thema's</w:t>
      </w:r>
      <w:bookmarkEnd w:id="289"/>
    </w:p>
    <w:p>
      <w:pPr/>
      <w:r>
        <w:pict>
          <v:shape type="#_x0000_t75" stroked="f" style="width:47.376623376623pt; height:48pt; margin-left:0pt; margin-top:0pt; mso-position-horizontal:left; mso-position-vertical:top; mso-position-horizontal-relative:char; mso-position-vertical-relative:line;">
            <w10:wrap type="inline"/>
            <v:imagedata r:id="rId19"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90" w:name="_Toc290"/>
      <w:r>
        <w:t>Tekst</w:t>
      </w:r>
      <w:bookmarkEnd w:id="290"/>
    </w:p>
    <w:p>
      <w:pPr/>
      <w:r>
        <w:rPr/>
        <w:t xml:space="preserve">Inschrijver gebruikt een onafhankelijk MVO-monitoringssysteem, zoals MVO Register of Ecovadis of vergelijkbare systemen. Hiermee worden de duurzaamheidsprestaties gemonitord en verbeterd.</w:t>
      </w:r>
    </w:p>
    <w:p>
      <w:pPr>
        <w:pStyle w:val="Heading2"/>
      </w:pPr>
      <w:bookmarkStart w:id="291" w:name="_Toc291"/>
      <w:r>
        <w:t>Mogelijke bewijsmiddelen</w:t>
      </w:r>
      <w:bookmarkEnd w:id="291"/>
    </w:p>
    <w:p>
      <w:pPr/>
      <w:r>
        <w:rPr/>
        <w:t xml:space="preserve">Documentatie over hoe het monitoringssysteem wordt toegepast.</w:t>
      </w:r>
    </w:p>
    <w:p>
      <w:pPr>
        <w:pStyle w:val="Heading2"/>
      </w:pPr>
      <w:bookmarkStart w:id="292" w:name="_Toc292"/>
      <w:r>
        <w:t>Wijze van beoordelen</w:t>
      </w:r>
      <w:bookmarkEnd w:id="292"/>
    </w:p>
    <w:p>
      <w:pPr/>
      <w:r>
        <w:rPr/>
        <w:t xml:space="preserve">-</w:t>
      </w:r>
    </w:p>
    <w:p>
      <w:pPr>
        <w:pStyle w:val="Heading2"/>
      </w:pPr>
      <w:bookmarkStart w:id="293" w:name="_Toc293"/>
      <w:r>
        <w:t>Bijbehorende contractbepaling</w:t>
      </w:r>
      <w:bookmarkEnd w:id="293"/>
    </w:p>
    <w:p>
      <w:pPr/>
      <w:r>
        <w:rPr/>
        <w:t xml:space="preserve">-</w:t>
      </w:r>
    </w:p>
    <w:p>
      <w:pPr>
        <w:pStyle w:val="Heading2"/>
      </w:pPr>
      <w:bookmarkStart w:id="294" w:name="_Toc294"/>
      <w:r>
        <w:t>Toelichting voor inkopende organisatie</w:t>
      </w:r>
      <w:bookmarkEnd w:id="294"/>
    </w:p>
    <w:p>
      <w:pPr/>
      <w:r>
        <w:rPr/>
        <w:t xml:space="preserve">Meer info: zie linkjes
Let op: het is verstandig om vooraf te toetsen of Inschrijver aan deze eis kan voldoen. Het hanteren van een MVO-monitoringssysteem is namelijk niet in alle marktsegmenten gangbaar. Het is verstandig van tevoren te achterhalen of meerdere partijen hieraan kunnen voldoen. Het hanteren van een dergelijk monitoringssysteem is niet in alle marktsegmenten gangbaar.</w:t>
      </w:r>
    </w:p>
    <w:p>
      <w:pPr>
        <w:pStyle w:val="Heading2"/>
      </w:pPr>
      <w:bookmarkStart w:id="295" w:name="_Toc295"/>
      <w:r>
        <w:t>External links</w:t>
      </w:r>
      <w:bookmarkEnd w:id="295"/>
    </w:p>
    <w:p>
      <w:hyperlink r:id="rId36" w:history="1">
        <w:r>
          <w:t xml:space="preserve">https://www.mvo-register.nl/</w:t>
        </w:r>
      </w:hyperlink>
    </w:p>
    <w:p>
      <w:hyperlink r:id="rId37" w:history="1">
        <w:r>
          <w:t xml:space="preserve">https://ecovadis.com/nl/suppliers/</w:t>
        </w:r>
      </w:hyperlink>
    </w:p>
    <w:p>
      <w:pPr>
        <w:pStyle w:val="Heading2"/>
      </w:pPr>
      <w:bookmarkStart w:id="296" w:name="_Toc296"/>
      <w:r>
        <w:t>Bron</w:t>
      </w:r>
      <w:bookmarkEnd w:id="296"/>
    </w:p>
    <w:p>
      <w:pPr>
        <w:numPr>
          <w:ilvl w:val="0"/>
          <w:numId w:val="3"/>
        </w:numPr>
      </w:pPr>
      <w:r>
        <w:rPr/>
        <w:t xml:space="preserve">Intrakoop</w:t>
      </w:r>
    </w:p>
    <w:p/>
    <w:p>
      <w:pPr>
        <w:pStyle w:val="Heading1"/>
      </w:pPr>
      <w:bookmarkStart w:id="297" w:name="_Toc297"/>
      <w:r>
        <w:t>4.5 Registratie bij EcoVadis verplicht</w:t>
      </w:r>
      <w:bookmarkEnd w:id="297"/>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298" w:name="_Toc298"/>
      <w:r>
        <w:t>Thema's</w:t>
      </w:r>
      <w:bookmarkEnd w:id="298"/>
    </w:p>
    <w:p>
      <w:pPr/>
      <w:r>
        <w:pict>
          <v:shape type="#_x0000_t75" stroked="f" style="width:47.376623376623pt; height:48pt; margin-left:0pt; margin-top:0pt; mso-position-horizontal:left; mso-position-vertical:top; mso-position-horizontal-relative:char; mso-position-vertical-relative:line;">
            <w10:wrap type="inline"/>
            <v:imagedata r:id="rId19"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99" w:name="_Toc299"/>
      <w:r>
        <w:t>Tekst</w:t>
      </w:r>
      <w:bookmarkEnd w:id="299"/>
    </w:p>
    <w:p>
      <w:pPr/>
      <w:r>
        <w:rPr/>
        <w:t xml:space="preserve">Inschrijver is verplicht zich te registreren bij EcoVadis. Binnen twee maanden na de startdatum van het contract moet hij de EcoVadis vragenlijst invullen en delen met Opdrachtgever.
Deze vragenlijst geeft inzicht in de duurzaamheid van het managementsysteem van de organisatie. Op basis van de antwoorden ontvangt Inschrijver een score van 0 tot 100, die aangeeft hoe duurzaam de organisatie is.
Inschrijver mag ook gebruikmaken van de EcoVadis registratie van zijn moedermaatschappij.</w:t>
      </w:r>
    </w:p>
    <w:p>
      <w:pPr>
        <w:pStyle w:val="Heading2"/>
      </w:pPr>
      <w:bookmarkStart w:id="300" w:name="_Toc300"/>
      <w:r>
        <w:t>Mogelijke bewijsmiddelen</w:t>
      </w:r>
      <w:bookmarkEnd w:id="300"/>
    </w:p>
    <w:p>
      <w:pPr/>
      <w:r>
        <w:rPr/>
        <w:t xml:space="preserve">De ingevulde vragenlijst van EcoVadis en de EcoVadis Scorecard van Inschrijver. Registratie van moedermaatschappij van Ecovadis voldoet ook.</w:t>
      </w:r>
    </w:p>
    <w:p>
      <w:pPr>
        <w:pStyle w:val="Heading2"/>
      </w:pPr>
      <w:bookmarkStart w:id="301" w:name="_Toc301"/>
      <w:r>
        <w:t>Wijze van beoordelen</w:t>
      </w:r>
      <w:bookmarkEnd w:id="301"/>
    </w:p>
    <w:p>
      <w:pPr/>
      <w:r>
        <w:rPr/>
        <w:t xml:space="preserve">-</w:t>
      </w:r>
    </w:p>
    <w:p>
      <w:pPr>
        <w:pStyle w:val="Heading2"/>
      </w:pPr>
      <w:bookmarkStart w:id="302" w:name="_Toc302"/>
      <w:r>
        <w:t>Bijbehorende contractbepaling</w:t>
      </w:r>
      <w:bookmarkEnd w:id="302"/>
    </w:p>
    <w:p>
      <w:pPr/>
      <w:r>
        <w:rPr/>
        <w:t xml:space="preserve">-</w:t>
      </w:r>
    </w:p>
    <w:p>
      <w:pPr>
        <w:pStyle w:val="Heading2"/>
      </w:pPr>
      <w:bookmarkStart w:id="303" w:name="_Toc303"/>
      <w:r>
        <w:t>Toelichting voor inkopende organisatie</w:t>
      </w:r>
      <w:bookmarkEnd w:id="303"/>
    </w:p>
    <w:p>
      <w:pPr/>
      <w:r>
        <w:rPr/>
        <w:t xml:space="preserve">De kosten voor de registratie bij EcoVadis komen voor rekening van Inschrijver. Bij aanmelding in een samenwerkingsverband moet elke deelnemer aan deze eis voldoen.
Voor meer informatie zie de EcoVadis website: zie link</w:t>
      </w:r>
    </w:p>
    <w:p>
      <w:pPr>
        <w:pStyle w:val="Heading2"/>
      </w:pPr>
      <w:bookmarkStart w:id="304" w:name="_Toc304"/>
      <w:r>
        <w:t>External links</w:t>
      </w:r>
      <w:bookmarkEnd w:id="304"/>
    </w:p>
    <w:p>
      <w:hyperlink r:id="rId38" w:history="1">
        <w:r>
          <w:t xml:space="preserve">https://support.ecovadis.com/hc/en-us/articles/210460227-Understanding-EcoVadis-Medals-and-Badges#:~:text=The%20EcoVadis%20score%20(0%2D100,the%20time%20of%20the%20assessment.</w:t>
        </w:r>
      </w:hyperlink>
    </w:p>
    <w:p>
      <w:pPr>
        <w:pStyle w:val="Heading2"/>
      </w:pPr>
      <w:bookmarkStart w:id="305" w:name="_Toc305"/>
      <w:r>
        <w:t>Bron</w:t>
      </w:r>
      <w:bookmarkEnd w:id="305"/>
    </w:p>
    <w:p>
      <w:pPr>
        <w:numPr>
          <w:ilvl w:val="0"/>
          <w:numId w:val="3"/>
        </w:numPr>
      </w:pPr>
      <w:r>
        <w:rPr/>
        <w:t xml:space="preserve">MVI criteria tool</w:t>
      </w:r>
    </w:p>
    <w:p/>
    <w:p>
      <w:pPr>
        <w:pStyle w:val="Heading1"/>
      </w:pPr>
      <w:bookmarkStart w:id="306" w:name="_Toc306"/>
      <w:r>
        <w:t>4.6 Milieurapportage</w:t>
      </w:r>
      <w:bookmarkEnd w:id="306"/>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307" w:name="_Toc307"/>
      <w:r>
        <w:t>Thema's</w:t>
      </w:r>
      <w:bookmarkEnd w:id="307"/>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08" w:name="_Toc308"/>
      <w:r>
        <w:t>Tekst</w:t>
      </w:r>
      <w:bookmarkEnd w:id="308"/>
    </w:p>
    <w:p>
      <w:pPr/>
      <w:r>
        <w:rPr/>
        <w:t xml:space="preserve">Inschrijver levert jaarlijks een milieurapportage aan over alle activiteiten die verband houden met de uitvoering van het contract.</w:t>
      </w:r>
    </w:p>
    <w:p>
      <w:pPr>
        <w:pStyle w:val="Heading2"/>
      </w:pPr>
      <w:bookmarkStart w:id="309" w:name="_Toc309"/>
      <w:r>
        <w:t>Mogelijke bewijsmiddelen</w:t>
      </w:r>
      <w:bookmarkEnd w:id="309"/>
    </w:p>
    <w:p>
      <w:pPr/>
      <w:r>
        <w:rPr/>
        <w:t xml:space="preserve">-</w:t>
      </w:r>
    </w:p>
    <w:p>
      <w:pPr>
        <w:pStyle w:val="Heading2"/>
      </w:pPr>
      <w:bookmarkStart w:id="310" w:name="_Toc310"/>
      <w:r>
        <w:t>Wijze van beoordelen</w:t>
      </w:r>
      <w:bookmarkEnd w:id="310"/>
    </w:p>
    <w:p>
      <w:pPr/>
      <w:r>
        <w:rPr/>
        <w:t xml:space="preserve">-</w:t>
      </w:r>
    </w:p>
    <w:p>
      <w:pPr>
        <w:pStyle w:val="Heading2"/>
      </w:pPr>
      <w:bookmarkStart w:id="311" w:name="_Toc311"/>
      <w:r>
        <w:t>Bijbehorende contractbepaling</w:t>
      </w:r>
      <w:bookmarkEnd w:id="311"/>
    </w:p>
    <w:p>
      <w:pPr/>
      <w:r>
        <w:rPr/>
        <w:t xml:space="preserve">De rapportage wordt uiterlijk op 31 maart van het daaropvolgende kalenderjaar aangeleverd, tenzij schriftelijk anders wordt overeengekomen.</w:t>
      </w:r>
    </w:p>
    <w:p>
      <w:pPr>
        <w:pStyle w:val="Heading2"/>
      </w:pPr>
      <w:bookmarkStart w:id="312" w:name="_Toc312"/>
      <w:r>
        <w:t>Toelichting voor inkopende organisatie</w:t>
      </w:r>
      <w:bookmarkEnd w:id="312"/>
    </w:p>
    <w:p>
      <w:pPr/>
      <w:r>
        <w:rPr/>
        <w:t xml:space="preserve">Jaarlijks levert Inschrijver een milieurapportage aan bij Opdrachtgever. In deze rapportage worden alle activiteiten beschreven die verband houden met de uitvoering van het contract. Deze activiteiten zijn inclusief: het gebruik van materialen, het energieverbruik, de afvalstromen en de genomen maatregelen ter bevordering van duurzaamheid.</w:t>
      </w:r>
    </w:p>
    <w:p>
      <w:pPr>
        <w:pStyle w:val="Heading2"/>
      </w:pPr>
      <w:bookmarkStart w:id="313" w:name="_Toc313"/>
      <w:r>
        <w:t>External links</w:t>
      </w:r>
      <w:bookmarkEnd w:id="313"/>
    </w:p>
    <w:p>
      <w:pPr>
        <w:pStyle w:val="Heading2"/>
      </w:pPr>
      <w:bookmarkStart w:id="314" w:name="_Toc314"/>
      <w:r>
        <w:t>Bron</w:t>
      </w:r>
      <w:bookmarkEnd w:id="314"/>
    </w:p>
    <w:p>
      <w:pPr>
        <w:numPr>
          <w:ilvl w:val="0"/>
          <w:numId w:val="3"/>
        </w:numPr>
      </w:pPr>
      <w:r>
        <w:rPr/>
        <w:t xml:space="preserve">NHS</w:t>
      </w:r>
    </w:p>
    <w:p/>
    <w:p>
      <w:pPr>
        <w:pStyle w:val="Heading1"/>
      </w:pPr>
      <w:bookmarkStart w:id="315" w:name="_Toc315"/>
      <w:r>
        <w:t>4.7 Herkomst textielvezels en gebruik chemicaliën</w:t>
      </w:r>
      <w:bookmarkEnd w:id="315"/>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316" w:name="_Toc316"/>
      <w:r>
        <w:t>Thema's</w:t>
      </w:r>
      <w:bookmarkEnd w:id="316"/>
    </w:p>
    <w:p>
      <w:pPr/>
      <w:r>
        <w:pict>
          <v:shape type="#_x0000_t75" stroked="f" style="width:47.376623376623pt; height:48pt; margin-left:0pt; margin-top:0pt; mso-position-horizontal:left; mso-position-vertical:top; mso-position-horizontal-relative:char; mso-position-vertical-relative:line;">
            <w10:wrap type="inline"/>
            <v:imagedata r:id="rId1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pict>
          <v:shape type="#_x0000_t75" stroked="f" style="width:80.842105263158pt; height:48pt; margin-left:0pt; margin-top:0pt; mso-position-horizontal:left; mso-position-vertical:top; mso-position-horizontal-relative:char; mso-position-vertical-relative:line;">
            <w10:wrap type="inline"/>
            <v:imagedata r:id="rId39" o:title=""/>
          </v:shape>
        </w:pict>
      </w:r>
    </w:p>
    <w:p>
      <w:pPr/>
      <w:r>
        <w:pict>
          <v:shape type="#_x0000_t75" stroked="f" style="width:48pt; height:48pt; margin-left:0pt; margin-top:0pt; mso-position-horizontal:left; mso-position-vertical:top; mso-position-horizontal-relative:char; mso-position-vertical-relative:line;">
            <w10:wrap type="inline"/>
            <v:imagedata r:id="rId40" o:title=""/>
          </v:shape>
        </w:pict>
      </w:r>
    </w:p>
    <w:p>
      <w:pPr/>
      <w:r>
        <w:pict>
          <v:shape type="#_x0000_t75" stroked="f" style="width:79.06976744186pt; height:48pt; margin-left:0pt; margin-top:0pt; mso-position-horizontal:left; mso-position-vertical:top; mso-position-horizontal-relative:char; mso-position-vertical-relative:line;">
            <w10:wrap type="inline"/>
            <v:imagedata r:id="rId41"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32" o:title=""/>
          </v:shape>
        </w:pict>
      </w:r>
    </w:p>
    <w:p>
      <w:pPr/>
      <w:r>
        <w:rPr>
          <w:b w:val="1"/>
          <w:bCs w:val="1"/>
        </w:rPr>
        <w:t xml:space="preserve">AOC: </w:t>
      </w:r>
      <w:r>
        <w:rPr/>
        <w:t xml:space="preserve">65.79.01.22 - Operatiekleding tbv personeel, 65.79.00.00 - Medisch/Verpleegkundig ondersteunende materiaal; algemeen, 65.79.01.06 - Afdekmateriaal, 65.04.95.08 - Absorberend incontinentiemateriaal, 65.09.04.21 - Isolatiekleding</w:t>
      </w:r>
    </w:p>
    <w:p>
      <w:pPr>
        <w:pStyle w:val="Heading2"/>
      </w:pPr>
      <w:bookmarkStart w:id="317" w:name="_Toc317"/>
      <w:r>
        <w:t>Tekst</w:t>
      </w:r>
      <w:bookmarkEnd w:id="317"/>
    </w:p>
    <w:p>
      <w:pPr/>
      <w:r>
        <w:rPr/>
        <w:t xml:space="preserve">Inschrijver geeft aan hoe hij de herkomst van textielvezels en het gebruik van chemische stoffen in textiel in zijn product en toeleveringsketen controleert.</w:t>
      </w:r>
    </w:p>
    <w:p>
      <w:pPr>
        <w:pStyle w:val="Heading2"/>
      </w:pPr>
      <w:bookmarkStart w:id="318" w:name="_Toc318"/>
      <w:r>
        <w:t>Mogelijke bewijsmiddelen</w:t>
      </w:r>
      <w:bookmarkEnd w:id="318"/>
    </w:p>
    <w:p>
      <w:pPr/>
      <w:r>
        <w:rPr/>
        <w:t xml:space="preserve">Systemen, procedures, expertise, audits, certificaten en praktijkvoorbeelden waaruit blijkt dat Inschrijver de herkomst van textielvezels en het gebruik van chemische stoffen in zijn product en toeleveringsketen controleert.
Monitoring van laboratoriumtesten voldoen aan:
- ISO 17025 Algemene eisen voor de competentie van test- en kalibratielaboratoria 
- ISO 17065 Conformiteitsbeoordeling - Eisen voor certificatie-instellingen die certificaten toekennen aan producten, processen en diensten
- ISO 19011 Guidelines for auditing management systems
- Of gelijkwaardig
https://www.nen.nl/nen-en-iso-iec-17025-2018-nl-243379
https://www.nen.nl/nen-en-iso-iec-17065-2012-nl-295413
https://www.nen.nl/en/nen-en-iso-19011-2018-nl-249351</w:t>
      </w:r>
    </w:p>
    <w:p>
      <w:pPr>
        <w:pStyle w:val="Heading2"/>
      </w:pPr>
      <w:bookmarkStart w:id="319" w:name="_Toc319"/>
      <w:r>
        <w:t>Wijze van beoordelen</w:t>
      </w:r>
      <w:bookmarkEnd w:id="319"/>
    </w:p>
    <w:p>
      <w:pPr/>
      <w:r>
        <w:rPr/>
        <w:t xml:space="preserve">-</w:t>
      </w:r>
    </w:p>
    <w:p>
      <w:pPr>
        <w:pStyle w:val="Heading2"/>
      </w:pPr>
      <w:bookmarkStart w:id="320" w:name="_Toc320"/>
      <w:r>
        <w:t>Bijbehorende contractbepaling</w:t>
      </w:r>
      <w:bookmarkEnd w:id="320"/>
    </w:p>
    <w:p>
      <w:pPr/>
      <w:r>
        <w:rPr/>
        <w:t xml:space="preserve">-</w:t>
      </w:r>
    </w:p>
    <w:p>
      <w:pPr>
        <w:pStyle w:val="Heading2"/>
      </w:pPr>
      <w:bookmarkStart w:id="321" w:name="_Toc321"/>
      <w:r>
        <w:t>Toelichting voor inkopende organisatie</w:t>
      </w:r>
      <w:bookmarkEnd w:id="321"/>
    </w:p>
    <w:p>
      <w:pPr/>
      <w:r>
        <w:rPr/>
        <w:t xml:space="preserve">Inschrijver levert de volgende gegevens aan:
Herkomst van textielsvezels:
- Een beschrijving van de systemen waarmee de herkomst, samenstelling en productiemethoden van zowel natuurlijke als synthetische textielvezels (waarvoor milieucriteria van toepassing zijn) worden herleid
- Transactiegegevens waarmee de herkomst van grondstoffen die worden gebruikt in garens en ongebleekte stoffen worden getraceerd en gecontroleerd.
- Certificaten van derden waarmee de oorsprong van textiel wordt aangetoond, voldoen ook.
Gebruik van chemische stoffen:
- Een lijst van chemicaliën die wel zijn toegestaan bij bedrijven die textiel kleuren, bedrukken en afwerken.
- Bewijs dat de lijst met deze bedrijven wordt gedeeld, inclusief een toelichting op hoe zij worden gecontroleerd.
- Informatie over de monitoring van laboratoriumtesten om te verifiëren of bedrijven zich aan de lijst houden. Deze monitoring moet voldoen aan de normen ISO 17025, ISO 17065, ISO 19011 of een gelijkwaardige norm.
Een aanvullende toelichting voor operatiekleding is te vinden op de Groene Z: https://www.degroenez.org/productgroepen/steriele-ok-jas/herbruikbaar#section-sustainable-use</w:t>
      </w:r>
    </w:p>
    <w:p>
      <w:pPr>
        <w:pStyle w:val="Heading2"/>
      </w:pPr>
      <w:bookmarkStart w:id="322" w:name="_Toc322"/>
      <w:r>
        <w:t>External links</w:t>
      </w:r>
      <w:bookmarkEnd w:id="322"/>
    </w:p>
    <w:p>
      <w:pPr>
        <w:pStyle w:val="Heading2"/>
      </w:pPr>
      <w:bookmarkStart w:id="323" w:name="_Toc323"/>
      <w:r>
        <w:t>Bron</w:t>
      </w:r>
      <w:bookmarkEnd w:id="323"/>
    </w:p>
    <w:p>
      <w:pPr>
        <w:numPr>
          <w:ilvl w:val="0"/>
          <w:numId w:val="3"/>
        </w:numPr>
      </w:pPr>
      <w:r>
        <w:rPr/>
        <w:t xml:space="preserve">MVI criteria tool</w:t>
      </w:r>
    </w:p>
    <w:p>
      <w:pPr>
        <w:numPr>
          <w:ilvl w:val="0"/>
          <w:numId w:val="3"/>
        </w:numPr>
      </w:pPr>
      <w:r>
        <w:rPr/>
        <w:t xml:space="preserve">EU GPP 2017</w:t>
      </w:r>
    </w:p>
    <w:p/>
    <w:p>
      <w:pPr>
        <w:pStyle w:val="Heading1"/>
      </w:pPr>
      <w:bookmarkStart w:id="324" w:name="_Toc324"/>
      <w:r>
        <w:t>4.8 Referentie ervaring hergebruikte (refurbished) apparatuur</w:t>
      </w:r>
      <w:bookmarkEnd w:id="324"/>
    </w:p>
    <w:p>
      <w:pPr/>
      <w:r>
        <w:rPr>
          <w:b w:val="1"/>
          <w:bCs w:val="1"/>
        </w:rPr>
        <w:t xml:space="preserve">Productgroep: </w:t>
      </w:r>
      <w:r>
        <w:rPr/>
        <w:t xml:space="preserve">Leverancier</w:t>
      </w:r>
    </w:p>
    <w:p>
      <w:pPr/>
      <w:r>
        <w:rPr>
          <w:b w:val="1"/>
          <w:bCs w:val="1"/>
        </w:rPr>
        <w:t xml:space="preserve">Voorwaarden: </w:t>
      </w:r>
      <w:r>
        <w:rPr/>
        <w:t xml:space="preserve">Gunningscriteria</w:t>
      </w:r>
    </w:p>
    <w:p>
      <w:pPr>
        <w:pStyle w:val="Heading2"/>
      </w:pPr>
      <w:bookmarkStart w:id="325" w:name="_Toc325"/>
      <w:r>
        <w:t>Thema's</w:t>
      </w:r>
      <w:bookmarkEnd w:id="325"/>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26" w:name="_Toc326"/>
      <w:r>
        <w:t>Tekst</w:t>
      </w:r>
      <w:bookmarkEnd w:id="326"/>
    </w:p>
    <w:p>
      <w:pPr/>
      <w:r>
        <w:rPr/>
        <w:t xml:space="preserve">Inschrijver heeft ervaring met het leveren van hergebruikte of refurbished apparatuur. Hij geeft aan hoeveel hergebruikte dan wel gerefurbished apparatuur met dezelfde specificaties hij in de afgelopen twee jaar heeft geleverd, en waar deze apparatuur is ingezet.</w:t>
      </w:r>
    </w:p>
    <w:p>
      <w:pPr>
        <w:pStyle w:val="Heading2"/>
      </w:pPr>
      <w:bookmarkStart w:id="327" w:name="_Toc327"/>
      <w:r>
        <w:t>Mogelijke bewijsmiddelen</w:t>
      </w:r>
      <w:bookmarkEnd w:id="327"/>
    </w:p>
    <w:p>
      <w:pPr/>
      <w:r>
        <w:rPr/>
        <w:t xml:space="preserve">-</w:t>
      </w:r>
    </w:p>
    <w:p>
      <w:pPr>
        <w:pStyle w:val="Heading2"/>
      </w:pPr>
      <w:bookmarkStart w:id="328" w:name="_Toc328"/>
      <w:r>
        <w:t>Wijze van beoordelen</w:t>
      </w:r>
      <w:bookmarkEnd w:id="328"/>
    </w:p>
    <w:p>
      <w:pPr/>
      <w:r>
        <w:rPr/>
        <w:t xml:space="preserve">-</w:t>
      </w:r>
    </w:p>
    <w:p>
      <w:pPr>
        <w:pStyle w:val="Heading2"/>
      </w:pPr>
      <w:bookmarkStart w:id="329" w:name="_Toc329"/>
      <w:r>
        <w:t>Bijbehorende contractbepaling</w:t>
      </w:r>
      <w:bookmarkEnd w:id="329"/>
    </w:p>
    <w:p>
      <w:pPr/>
      <w:r>
        <w:rPr/>
        <w:t xml:space="preserve">-</w:t>
      </w:r>
    </w:p>
    <w:p>
      <w:pPr>
        <w:pStyle w:val="Heading2"/>
      </w:pPr>
      <w:bookmarkStart w:id="330" w:name="_Toc330"/>
      <w:r>
        <w:t>Toelichting voor inkopende organisatie</w:t>
      </w:r>
      <w:bookmarkEnd w:id="330"/>
    </w:p>
    <w:p>
      <w:pPr/>
      <w:r>
        <w:rPr/>
        <w:t xml:space="preserve">Refurbished
Refurbished producten of onderdelen zijn producten of onderdelen die eerder zijn gebruikt en op dezelfde wijze opnieuw worden hergebruikt in een nieuw of hetzelfde product. Ook het verbeteren of aanpassen (refurbishen) van een product of onderdeel valt onder hergebruik, mits de oorspronkelijke functie behouden blijft.
Hergebruikt
Hergebruikte medische apparatuur is apparatuur die opnieuw wordt ingezet zoals die is, zonder dat er technische of cosmetische ingrepen zijn gedaan.</w:t>
      </w:r>
    </w:p>
    <w:p>
      <w:pPr>
        <w:pStyle w:val="Heading2"/>
      </w:pPr>
      <w:bookmarkStart w:id="331" w:name="_Toc331"/>
      <w:r>
        <w:t>External links</w:t>
      </w:r>
      <w:bookmarkEnd w:id="331"/>
    </w:p>
    <w:p>
      <w:pPr>
        <w:pStyle w:val="Heading2"/>
      </w:pPr>
      <w:bookmarkStart w:id="332" w:name="_Toc332"/>
      <w:r>
        <w:t>Bron</w:t>
      </w:r>
      <w:bookmarkEnd w:id="332"/>
    </w:p>
    <w:p>
      <w:pPr>
        <w:numPr>
          <w:ilvl w:val="0"/>
          <w:numId w:val="3"/>
        </w:numPr>
      </w:pPr>
      <w:r>
        <w:rPr/>
        <w:t xml:space="preserve">UMC Utrecht</w:t>
      </w:r>
    </w:p>
    <w:p/>
    <w:p>
      <w:pPr>
        <w:pStyle w:val="Heading1"/>
      </w:pPr>
      <w:bookmarkStart w:id="333" w:name="_Toc333"/>
      <w:r>
        <w:t>5.1 Grenswaarden aan CO2-uitstoot van lichte voertuigen</w:t>
      </w:r>
      <w:bookmarkEnd w:id="333"/>
    </w:p>
    <w:p>
      <w:pPr/>
      <w:r>
        <w:rPr>
          <w:b w:val="1"/>
          <w:bCs w:val="1"/>
        </w:rPr>
        <w:t xml:space="preserve">Productgroep: </w:t>
      </w:r>
      <w:r>
        <w:rPr/>
        <w:t xml:space="preserve">Transport en vervoer</w:t>
      </w:r>
    </w:p>
    <w:p>
      <w:pPr/>
      <w:r>
        <w:rPr>
          <w:b w:val="1"/>
          <w:bCs w:val="1"/>
        </w:rPr>
        <w:t xml:space="preserve">Voorwaarden: </w:t>
      </w:r>
      <w:r>
        <w:rPr/>
        <w:t xml:space="preserve">Eisen</w:t>
      </w:r>
    </w:p>
    <w:p>
      <w:pPr>
        <w:pStyle w:val="Heading2"/>
      </w:pPr>
      <w:bookmarkStart w:id="334" w:name="_Toc334"/>
      <w:r>
        <w:t>Thema's</w:t>
      </w:r>
      <w:bookmarkEnd w:id="334"/>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35" w:name="_Toc335"/>
      <w:r>
        <w:t>Tekst</w:t>
      </w:r>
      <w:bookmarkEnd w:id="335"/>
    </w:p>
    <w:p>
      <w:pPr/>
      <w:r>
        <w:rPr/>
        <w:t xml:space="preserve">Lichte voertuigen mogen de grenswaarden van de CO2-uitstoot niet overschrijden. Deze grenswaarden worden berekend volgens de WLTP-testprocedure en zijn afhankelijk van het voertuigtype:
Voertuigtype *
- L-categorie          0 CO2 g/km  (WLTP)                                                                                                                                                                        - Miniklasse - M1 (klein)         117(WLTP) (WLTP)                                                                                                                                                                                                                                                                        - Compacte en hogere middenklasse - M1 (middel: Middenklasse - M1     119 (WLTP)                       - Hogere middenklasse - M1 (groot)        139 (WLTP)                                                                                                                                                                                           - Kleine bestelauto's (N1, klasse I, diesel)      140 (WLTP)                                                                                                - Kleine bestelauto's (N1, klasse I, benzine)                  131 WLTP)                                                                                                                                               - Middelgrote bestelauto's (N1, klasse II)       145 (WLTP)                                                                                                                    - Grote bestelauto's (N1, Klasse III) 162 + 0.096 * (M- 1766.35) (WLTP) waarbij  M staat voor de toegestane maimale massa van het voertuig</w:t>
      </w:r>
    </w:p>
    <w:p>
      <w:pPr>
        <w:pStyle w:val="Heading2"/>
      </w:pPr>
      <w:bookmarkStart w:id="336" w:name="_Toc336"/>
      <w:r>
        <w:t>Mogelijke bewijsmiddelen</w:t>
      </w:r>
      <w:bookmarkEnd w:id="336"/>
    </w:p>
    <w:p>
      <w:pPr/>
      <w:r>
        <w:rPr/>
        <w:t xml:space="preserve">-</w:t>
      </w:r>
    </w:p>
    <w:p>
      <w:pPr>
        <w:pStyle w:val="Heading2"/>
      </w:pPr>
      <w:bookmarkStart w:id="337" w:name="_Toc337"/>
      <w:r>
        <w:t>Wijze van beoordelen</w:t>
      </w:r>
      <w:bookmarkEnd w:id="337"/>
    </w:p>
    <w:p>
      <w:pPr/>
      <w:r>
        <w:rPr/>
        <w:t xml:space="preserve">Technische gegevens (typegoedkeuringspapieren) van het voertuig.
Of gelijkwaardig.</w:t>
      </w:r>
    </w:p>
    <w:p>
      <w:pPr>
        <w:pStyle w:val="Heading2"/>
      </w:pPr>
      <w:bookmarkStart w:id="338" w:name="_Toc338"/>
      <w:r>
        <w:t>Bijbehorende contractbepaling</w:t>
      </w:r>
      <w:bookmarkEnd w:id="338"/>
    </w:p>
    <w:p>
      <w:pPr/>
      <w:r>
        <w:rPr/>
        <w:t xml:space="preserve">-</w:t>
      </w:r>
    </w:p>
    <w:p>
      <w:pPr>
        <w:pStyle w:val="Heading2"/>
      </w:pPr>
      <w:bookmarkStart w:id="339" w:name="_Toc339"/>
      <w:r>
        <w:t>Toelichting voor inkopende organisatie</w:t>
      </w:r>
      <w:bookmarkEnd w:id="339"/>
    </w:p>
    <w:p>
      <w:pPr/>
      <w:r>
        <w:rPr/>
        <w:t xml:space="preserve">Lichte voertuigen of&amp;nbsp;Light&amp;nbsp;Duty&amp;nbsp;Vehicles&amp;nbsp;(LDV) zijn voertuigen zoals personen- en bestelauto’s. De CO2-uitstoot van de betreffende auto(‘s) kan worden vergeleken met de waarden uit&amp;nbsp;Het&amp;nbsp;Brandstofverbruiksboekje van de RDW.</w:t>
      </w:r>
    </w:p>
    <w:p>
      <w:pPr>
        <w:pStyle w:val="Heading2"/>
      </w:pPr>
      <w:bookmarkStart w:id="340" w:name="_Toc340"/>
      <w:r>
        <w:t>External links</w:t>
      </w:r>
      <w:bookmarkEnd w:id="340"/>
    </w:p>
    <w:p>
      <w:pPr>
        <w:pStyle w:val="Heading2"/>
      </w:pPr>
      <w:bookmarkStart w:id="341" w:name="_Toc341"/>
      <w:r>
        <w:t>Bron</w:t>
      </w:r>
      <w:bookmarkEnd w:id="341"/>
    </w:p>
    <w:p>
      <w:pPr>
        <w:numPr>
          <w:ilvl w:val="0"/>
          <w:numId w:val="3"/>
        </w:numPr>
      </w:pPr>
      <w:r>
        <w:rPr/>
        <w:t xml:space="preserve">MVI criteria tool</w:t>
      </w:r>
    </w:p>
    <w:p/>
    <w:p>
      <w:pPr>
        <w:pStyle w:val="Heading1"/>
      </w:pPr>
      <w:bookmarkStart w:id="342" w:name="_Toc342"/>
      <w:r>
        <w:t>5.2 Voertuigen met duurzame aandrijving hoger gewaardeerd</w:t>
      </w:r>
      <w:bookmarkEnd w:id="342"/>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343" w:name="_Toc343"/>
      <w:r>
        <w:t>Thema's</w:t>
      </w:r>
      <w:bookmarkEnd w:id="343"/>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44" w:name="_Toc344"/>
      <w:r>
        <w:t>Tekst</w:t>
      </w:r>
      <w:bookmarkEnd w:id="344"/>
    </w:p>
    <w:p>
      <w:pPr/>
      <w:r>
        <w:rPr/>
        <w:t xml:space="preserve">Voertuigen met een duurzame aandrijving worden hoger gewaardeerd bij de inschrijving. Dit geldt zowel voor lichte voertuigen als voor zware voertuigen.</w:t>
      </w:r>
    </w:p>
    <w:p>
      <w:pPr>
        <w:pStyle w:val="Heading2"/>
      </w:pPr>
      <w:bookmarkStart w:id="345" w:name="_Toc345"/>
      <w:r>
        <w:t>Mogelijke bewijsmiddelen</w:t>
      </w:r>
      <w:bookmarkEnd w:id="345"/>
    </w:p>
    <w:p>
      <w:pPr/>
      <w:r>
        <w:rPr/>
        <w:t xml:space="preserve">De verantwoordelijkheid van het aantonen van de inzet van het type opgegeven voertuigen ligt bij Inschrijver. Mogelijke verificatiemethoden zijn:
1. Technische specificatie per voertuig
2. In het geval van een dienstverlener: specificaties van alle auto’s die voor de uitvoering van de opdracht worden ingezet. Hierbij mag worden aangenomen dat het aandeel auto’s met een bepaald type aandrijving gelijk is aan het aandeel auto’s dat voor deze opdracht wordt ingezet.
Via rdw.nl kan ook de aandrijvingsvorm van de auto worden achterhaald door het kentekennummer in te voeren.
Opdrachtgever moet de mogelijkheid hebben om dit steekproefsgewijs te kunnen toetsen, bijvoorbeeld via toegang tot uw fleetmanagementsysteem.</w:t>
      </w:r>
    </w:p>
    <w:p>
      <w:pPr>
        <w:pStyle w:val="Heading2"/>
      </w:pPr>
      <w:bookmarkStart w:id="346" w:name="_Toc346"/>
      <w:r>
        <w:t>Wijze van beoordelen</w:t>
      </w:r>
      <w:bookmarkEnd w:id="346"/>
    </w:p>
    <w:p>
      <w:pPr/>
      <w:r>
        <w:rPr/>
        <w:t xml:space="preserve">Opdrachtgever kan de volgende waarden hanteren voor de beoordeling van de inschrijving:
Aandrijving LDV Waardering
Elektrisch 100
Fuel cell (bijvoorbeeld waterstof) 100
Hybride elektrisch 70
Verbrandingsmotor (gas/vloeibaar) 0
Aandrijving HDV Waardering (in percentages)
Elektrisch 100
Fuel cell (bijvoorbeeld waterstof) 100
Hybride elektrisch 70
Verbrandingsmotor (gas)* 10
Verbrandingsmotor (vloeibaar)* 0
* het betreft de brandstof op het moment van aandrijving.
U dient per type voertuig (LDV/HDV) en per type aandrijving (elektrisch, fuel cell (bijvoorbeeld waterstof), hybride elektrisch, verbrandingsmotor op gas, verbrandingsmotor op vloeibare brandstof) aan te geven welk percentage van de in te zetten voertuigen daaruit bestaat (opgeteld tot een totaal van 100% voor LDV en 100% voor HDV).
De score wordt bepaald door de optelsom van de percentages vermenigvuldigd met de waardering voor het type aandrijving.</w:t>
      </w:r>
    </w:p>
    <w:p>
      <w:pPr>
        <w:pStyle w:val="Heading2"/>
      </w:pPr>
      <w:bookmarkStart w:id="347" w:name="_Toc347"/>
      <w:r>
        <w:t>Bijbehorende contractbepaling</w:t>
      </w:r>
      <w:bookmarkEnd w:id="347"/>
    </w:p>
    <w:p>
      <w:pPr/>
      <w:r>
        <w:rPr/>
        <w:t xml:space="preserve">-</w:t>
      </w:r>
    </w:p>
    <w:p>
      <w:pPr>
        <w:pStyle w:val="Heading2"/>
      </w:pPr>
      <w:bookmarkStart w:id="348" w:name="_Toc348"/>
      <w:r>
        <w:t>Toelichting voor inkopende organisatie</w:t>
      </w:r>
      <w:bookmarkEnd w:id="348"/>
    </w:p>
    <w:p>
      <w:pPr/>
      <w:r>
        <w:rPr/>
        <w:t xml:space="preserve">Lichte voertuigen of Light Duty Vehicles (LDV) zijn voertuigen zoals personen- en bestelauto’s. Zware voertuigen of Heavy Duty Vehicles (HDV) zijn voertuigen zoals vrachtwagens en bussen.
Soorten aandrijvingen zijn: elektrisch, fuel cell (bijvoorbeeld waterstof), hybride elektrisch, verbrandingsmotor op gas, verbrandingsmotor op vloeibare brandstof.
Duurzame aandrijvingen zijn: elektrisch, hybride of waterstof.
Dit gunningscriterium is gebaseerd op de Nederlandse en Europese beleidsambities voor 2030. De waardering (zie wijze van beoordelen) kan worden aangepast indien het beleid van Opdrachtgever daartoe aanleiding geeft.
Neem daarbij ook de verschillende afspraken over de vergroening van het wagenpark in overweging, zoals het Klimaatakkoord (hoofdstuk Mobiliteit), de Richtlijn Schone Voertuigen (EU-richtlijn 2019/1161, Clean Vehicle Directive) en het Schone Lucht Akkoord. Voor meer informatie, zie website van PIANOo over vergroening van het wagenpark.
Dit gunningscriterium kijkt nu alleen naar het eerste jaar van het contract. Opdrachtgever kan er ook voor kiezen om te vragen welke voertuigen (in percentages) in elk contractjaar worden ingezet. Zo kan Inschrijver zelf bepalen wanneer welk type voertuig wordt gebruikt. In dat geval past Opdrachtgever ook de beoordelingsmethode aan.</w:t>
      </w:r>
    </w:p>
    <w:p>
      <w:pPr>
        <w:pStyle w:val="Heading2"/>
      </w:pPr>
      <w:bookmarkStart w:id="349" w:name="_Toc349"/>
      <w:r>
        <w:t>External links</w:t>
      </w:r>
      <w:bookmarkEnd w:id="349"/>
    </w:p>
    <w:p>
      <w:pPr>
        <w:pStyle w:val="Heading2"/>
      </w:pPr>
      <w:bookmarkStart w:id="350" w:name="_Toc350"/>
      <w:r>
        <w:t>Bron</w:t>
      </w:r>
      <w:bookmarkEnd w:id="350"/>
    </w:p>
    <w:p>
      <w:pPr>
        <w:numPr>
          <w:ilvl w:val="0"/>
          <w:numId w:val="3"/>
        </w:numPr>
      </w:pPr>
      <w:r>
        <w:rPr/>
        <w:t xml:space="preserve">MVI criteria tool</w:t>
      </w:r>
    </w:p>
    <w:p>
      <w:pPr>
        <w:numPr>
          <w:ilvl w:val="0"/>
          <w:numId w:val="3"/>
        </w:numPr>
      </w:pPr>
      <w:r>
        <w:rPr/>
        <w:t xml:space="preserve">Milieu Platform Zorg</w:t>
      </w:r>
    </w:p>
    <w:p/>
    <w:p>
      <w:pPr>
        <w:pStyle w:val="Heading1"/>
      </w:pPr>
      <w:bookmarkStart w:id="351" w:name="_Toc351"/>
      <w:r>
        <w:t>5.3 Vermindering CO2 uitstoot tijdens contractperiode</w:t>
      </w:r>
      <w:bookmarkEnd w:id="351"/>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352" w:name="_Toc352"/>
      <w:r>
        <w:t>Thema's</w:t>
      </w:r>
      <w:bookmarkEnd w:id="352"/>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353" w:name="_Toc353"/>
      <w:r>
        <w:t>Tekst</w:t>
      </w:r>
      <w:bookmarkEnd w:id="353"/>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354" w:name="_Toc354"/>
      <w:r>
        <w:t>Mogelijke bewijsmiddelen</w:t>
      </w:r>
      <w:bookmarkEnd w:id="354"/>
    </w:p>
    <w:p>
      <w:pPr/>
      <w:r>
        <w:rPr/>
        <w:t xml:space="preserve">Conform SBTI of vergelijkbare rapportages.</w:t>
      </w:r>
    </w:p>
    <w:p>
      <w:pPr>
        <w:pStyle w:val="Heading2"/>
      </w:pPr>
      <w:bookmarkStart w:id="355" w:name="_Toc355"/>
      <w:r>
        <w:t>Wijze van beoordelen</w:t>
      </w:r>
      <w:bookmarkEnd w:id="355"/>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356" w:name="_Toc356"/>
      <w:r>
        <w:t>Bijbehorende contractbepaling</w:t>
      </w:r>
      <w:bookmarkEnd w:id="356"/>
    </w:p>
    <w:p>
      <w:pPr/>
      <w:r>
        <w:rPr/>
        <w:t xml:space="preserve">-</w:t>
      </w:r>
    </w:p>
    <w:p>
      <w:pPr>
        <w:pStyle w:val="Heading2"/>
      </w:pPr>
      <w:bookmarkStart w:id="357" w:name="_Toc357"/>
      <w:r>
        <w:t>Toelichting voor inkopende organisatie</w:t>
      </w:r>
      <w:bookmarkEnd w:id="357"/>
    </w:p>
    <w:p>
      <w:pPr/>
      <w:r>
        <w:rPr/>
        <w:t xml:space="preserve">-</w:t>
      </w:r>
    </w:p>
    <w:p>
      <w:pPr>
        <w:pStyle w:val="Heading2"/>
      </w:pPr>
      <w:bookmarkStart w:id="358" w:name="_Toc358"/>
      <w:r>
        <w:t>External links</w:t>
      </w:r>
      <w:bookmarkEnd w:id="358"/>
    </w:p>
    <w:p>
      <w:pPr>
        <w:pStyle w:val="Heading2"/>
      </w:pPr>
      <w:bookmarkStart w:id="359" w:name="_Toc359"/>
      <w:r>
        <w:t>Bron</w:t>
      </w:r>
      <w:bookmarkEnd w:id="359"/>
    </w:p>
    <w:p>
      <w:pPr>
        <w:numPr>
          <w:ilvl w:val="0"/>
          <w:numId w:val="3"/>
        </w:numPr>
      </w:pPr>
      <w:r>
        <w:rPr/>
        <w:t xml:space="preserve">UMC Utrecht</w:t>
      </w:r>
    </w:p>
    <w:p/>
    <w:p>
      <w:pPr>
        <w:pStyle w:val="Heading1"/>
      </w:pPr>
      <w:bookmarkStart w:id="360" w:name="_Toc360"/>
      <w:r>
        <w:t>5.4 SMART plan voor een efficiënte transportoplossing wordt hoger gewaardeerd</w:t>
      </w:r>
      <w:bookmarkEnd w:id="360"/>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361" w:name="_Toc361"/>
      <w:r>
        <w:t>Thema's</w:t>
      </w:r>
      <w:bookmarkEnd w:id="361"/>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362" w:name="_Toc362"/>
      <w:r>
        <w:t>Tekst</w:t>
      </w:r>
      <w:bookmarkEnd w:id="362"/>
    </w:p>
    <w:p>
      <w:pPr/>
      <w:r>
        <w:rPr/>
        <w:t xml:space="preserve">Inschrijver levert een SMART geformuleerd plan aan waarin logistieke oplossingen worden voorgesteld om de CO2-uitstoot te verlagen. De oplossingen gaan in op het realiseren van schoon en slim transport.
Wanneer de oplossingen uit het SMART-plan resulteren in minder vervoersbewegingen, wordt de inschrijving hoger gewaardeerd.</w:t>
      </w:r>
    </w:p>
    <w:p>
      <w:pPr>
        <w:pStyle w:val="Heading2"/>
      </w:pPr>
      <w:bookmarkStart w:id="363" w:name="_Toc363"/>
      <w:r>
        <w:t>Mogelijke bewijsmiddelen</w:t>
      </w:r>
      <w:bookmarkEnd w:id="363"/>
    </w:p>
    <w:p>
      <w:pPr/>
      <w:r>
        <w:rPr/>
        <w:t xml:space="preserve">Het plan wordt beoordeeld op de volgende aspecten:
-Efficiëntie van de transportoplossing
-Haalbaarheid van de doelen
-SMART-aanpak</w:t>
      </w:r>
    </w:p>
    <w:p>
      <w:pPr>
        <w:pStyle w:val="Heading2"/>
      </w:pPr>
      <w:bookmarkStart w:id="364" w:name="_Toc364"/>
      <w:r>
        <w:t>Wijze van beoordelen</w:t>
      </w:r>
      <w:bookmarkEnd w:id="364"/>
    </w:p>
    <w:p>
      <w:pPr/>
      <w:r>
        <w:rPr/>
        <w:t xml:space="preserve">-</w:t>
      </w:r>
    </w:p>
    <w:p>
      <w:pPr>
        <w:pStyle w:val="Heading2"/>
      </w:pPr>
      <w:bookmarkStart w:id="365" w:name="_Toc365"/>
      <w:r>
        <w:t>Bijbehorende contractbepaling</w:t>
      </w:r>
      <w:bookmarkEnd w:id="365"/>
    </w:p>
    <w:p>
      <w:pPr/>
      <w:r>
        <w:rPr/>
        <w:t xml:space="preserve">-</w:t>
      </w:r>
    </w:p>
    <w:p>
      <w:pPr>
        <w:pStyle w:val="Heading2"/>
      </w:pPr>
      <w:bookmarkStart w:id="366" w:name="_Toc366"/>
      <w:r>
        <w:t>Toelichting voor inkopende organisatie</w:t>
      </w:r>
      <w:bookmarkEnd w:id="366"/>
    </w:p>
    <w:p>
      <w:pPr/>
      <w:r>
        <w:rPr/>
        <w:t xml:space="preserve">Slim transport gaat over efficiënte transportoplossingen, denk aan: vervoersbewegingen minimaliseren (bijvoorbeeld door transporten te bundelen) en de inzet van passende voertuigen (geen zwaar materieel wanneer dit niet nodig is).</w:t>
      </w:r>
    </w:p>
    <w:p>
      <w:pPr>
        <w:pStyle w:val="Heading2"/>
      </w:pPr>
      <w:bookmarkStart w:id="367" w:name="_Toc367"/>
      <w:r>
        <w:t>External links</w:t>
      </w:r>
      <w:bookmarkEnd w:id="367"/>
    </w:p>
    <w:p>
      <w:pPr>
        <w:pStyle w:val="Heading2"/>
      </w:pPr>
      <w:bookmarkStart w:id="368" w:name="_Toc368"/>
      <w:r>
        <w:t>Bron</w:t>
      </w:r>
      <w:bookmarkEnd w:id="368"/>
    </w:p>
    <w:p>
      <w:pPr>
        <w:numPr>
          <w:ilvl w:val="0"/>
          <w:numId w:val="3"/>
        </w:numPr>
      </w:pPr>
      <w:r>
        <w:rPr/>
        <w:t xml:space="preserve">MVI criteria tool</w:t>
      </w:r>
    </w:p>
    <w:p/>
    <w:p>
      <w:pPr>
        <w:pStyle w:val="Heading1"/>
      </w:pPr>
      <w:bookmarkStart w:id="369" w:name="_Toc369"/>
      <w:r>
        <w:t>5.5 Leveringen buiten de spits wordt hoger gewaardeerd</w:t>
      </w:r>
      <w:bookmarkEnd w:id="369"/>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370" w:name="_Toc370"/>
      <w:r>
        <w:t>Thema's</w:t>
      </w:r>
      <w:bookmarkEnd w:id="370"/>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371" w:name="_Toc371"/>
      <w:r>
        <w:t>Tekst</w:t>
      </w:r>
      <w:bookmarkEnd w:id="371"/>
    </w:p>
    <w:p>
      <w:pPr/>
      <w:r>
        <w:rPr/>
        <w:t xml:space="preserve">Inschrijving wordt hoger gewaardeerd wanneer het aantal leveringen tijdens de spits wordt verminderd en het leveren buiten de spits wordt aangemoedigd.</w:t>
      </w:r>
    </w:p>
    <w:p>
      <w:pPr>
        <w:pStyle w:val="Heading2"/>
      </w:pPr>
      <w:bookmarkStart w:id="372" w:name="_Toc372"/>
      <w:r>
        <w:t>Mogelijke bewijsmiddelen</w:t>
      </w:r>
      <w:bookmarkEnd w:id="372"/>
    </w:p>
    <w:p>
      <w:pPr/>
      <w:r>
        <w:rPr/>
        <w:t xml:space="preserve">Afleverings- of pakbonnen gedurende een jaar</w:t>
      </w:r>
    </w:p>
    <w:p>
      <w:pPr>
        <w:pStyle w:val="Heading2"/>
      </w:pPr>
      <w:bookmarkStart w:id="373" w:name="_Toc373"/>
      <w:r>
        <w:t>Wijze van beoordelen</w:t>
      </w:r>
      <w:bookmarkEnd w:id="373"/>
    </w:p>
    <w:p>
      <w:pPr/>
      <w:r>
        <w:rPr/>
        <w:t xml:space="preserve">-</w:t>
      </w:r>
    </w:p>
    <w:p>
      <w:pPr>
        <w:pStyle w:val="Heading2"/>
      </w:pPr>
      <w:bookmarkStart w:id="374" w:name="_Toc374"/>
      <w:r>
        <w:t>Bijbehorende contractbepaling</w:t>
      </w:r>
      <w:bookmarkEnd w:id="374"/>
    </w:p>
    <w:p>
      <w:pPr/>
      <w:r>
        <w:rPr/>
        <w:t xml:space="preserve">-</w:t>
      </w:r>
    </w:p>
    <w:p>
      <w:pPr>
        <w:pStyle w:val="Heading2"/>
      </w:pPr>
      <w:bookmarkStart w:id="375" w:name="_Toc375"/>
      <w:r>
        <w:t>Toelichting voor inkopende organisatie</w:t>
      </w:r>
      <w:bookmarkEnd w:id="375"/>
    </w:p>
    <w:p>
      <w:pPr/>
      <w:r>
        <w:rPr/>
        <w:t xml:space="preserve">-</w:t>
      </w:r>
    </w:p>
    <w:p>
      <w:pPr>
        <w:pStyle w:val="Heading2"/>
      </w:pPr>
      <w:bookmarkStart w:id="376" w:name="_Toc376"/>
      <w:r>
        <w:t>External links</w:t>
      </w:r>
      <w:bookmarkEnd w:id="376"/>
    </w:p>
    <w:p>
      <w:pPr>
        <w:pStyle w:val="Heading2"/>
      </w:pPr>
      <w:bookmarkStart w:id="377" w:name="_Toc377"/>
      <w:r>
        <w:t>Bron</w:t>
      </w:r>
      <w:bookmarkEnd w:id="377"/>
    </w:p>
    <w:p>
      <w:pPr>
        <w:numPr>
          <w:ilvl w:val="0"/>
          <w:numId w:val="3"/>
        </w:numPr>
      </w:pPr>
      <w:r>
        <w:rPr/>
        <w:t xml:space="preserve">NHS</w:t>
      </w:r>
    </w:p>
    <w:p/>
    <w:p>
      <w:pPr>
        <w:pStyle w:val="Heading1"/>
      </w:pPr>
      <w:bookmarkStart w:id="378" w:name="_Toc378"/>
      <w:r>
        <w:t>5.7 Emissieklasse 6 of elektrisch</w:t>
      </w:r>
      <w:bookmarkEnd w:id="378"/>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379" w:name="_Toc379"/>
      <w:r>
        <w:t>Thema's</w:t>
      </w:r>
      <w:bookmarkEnd w:id="379"/>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380" w:name="_Toc380"/>
      <w:r>
        <w:t>Tekst</w:t>
      </w:r>
      <w:bookmarkEnd w:id="380"/>
    </w:p>
    <w:p>
      <w:pPr/>
      <w:r>
        <w:rPr/>
        <w:t xml:space="preserve">Inschrijver dient bij het vervoer van goederen binnen Nederland gebruik te maken van voertuigen die ten minste voldoen aan emissieklasse 6 of elektrisch worden aangedreven. Als bewijsmiddel levert Inschrijver een afschrift aan van het typegoedkeuringsdocument van de voertuigen die voor de uitvoering van de opdracht worden ingezet. Dit document is verkrijgbaar via de website van de RDW.</w:t>
      </w:r>
    </w:p>
    <w:p>
      <w:pPr>
        <w:pStyle w:val="Heading2"/>
      </w:pPr>
      <w:bookmarkStart w:id="381" w:name="_Toc381"/>
      <w:r>
        <w:t>Mogelijke bewijsmiddelen</w:t>
      </w:r>
      <w:bookmarkEnd w:id="381"/>
    </w:p>
    <w:p>
      <w:pPr/>
      <w:r>
        <w:rPr/>
        <w:t xml:space="preserve">-</w:t>
      </w:r>
    </w:p>
    <w:p>
      <w:pPr>
        <w:pStyle w:val="Heading2"/>
      </w:pPr>
      <w:bookmarkStart w:id="382" w:name="_Toc382"/>
      <w:r>
        <w:t>Wijze van beoordelen</w:t>
      </w:r>
      <w:bookmarkEnd w:id="382"/>
    </w:p>
    <w:p>
      <w:pPr/>
      <w:r>
        <w:rPr/>
        <w:t xml:space="preserve">Afschrift van de typegoedkeuringspapieren van de voertuigen die voor de opdracht worden ingezet.</w:t>
      </w:r>
    </w:p>
    <w:p>
      <w:pPr>
        <w:pStyle w:val="Heading2"/>
      </w:pPr>
      <w:bookmarkStart w:id="383" w:name="_Toc383"/>
      <w:r>
        <w:t>Bijbehorende contractbepaling</w:t>
      </w:r>
      <w:bookmarkEnd w:id="383"/>
    </w:p>
    <w:p>
      <w:pPr/>
      <w:r>
        <w:rPr/>
        <w:t xml:space="preserve">-</w:t>
      </w:r>
    </w:p>
    <w:p>
      <w:pPr>
        <w:pStyle w:val="Heading2"/>
      </w:pPr>
      <w:bookmarkStart w:id="384" w:name="_Toc384"/>
      <w:r>
        <w:t>Toelichting voor inkopende organisatie</w:t>
      </w:r>
      <w:bookmarkEnd w:id="384"/>
    </w:p>
    <w:p>
      <w:pPr/>
      <w:r>
        <w:rPr/>
        <w:t xml:space="preserve">Let op: het is aan te raden de haalbaarheid van deze eis eerst via een marktconsultatie te controleren.
De emissieklasse bepaalt of een voertuig wel of geen toegang heeft tot een milieuzone. RDW specificeert de volgende emissieklassen, 4 is het laagst, Z het hoogst:
-EURO 4 is emissieklasse 4
-EURO 6W is emissieklasse 6
-EEV  is emissieklasse 5
-EURO V is emissieklasse 5
-Elektrisch voertuig is emissieklasse Z
https://www.rdw.nl/uw-voertuig-en-uw-gegevens/iets-veranderen-aan-uw-voertuig/emissieklasse-van-uw-voertuig</w:t>
      </w:r>
    </w:p>
    <w:p>
      <w:pPr>
        <w:pStyle w:val="Heading2"/>
      </w:pPr>
      <w:bookmarkStart w:id="385" w:name="_Toc385"/>
      <w:r>
        <w:t>External links</w:t>
      </w:r>
      <w:bookmarkEnd w:id="385"/>
    </w:p>
    <w:p>
      <w:pPr>
        <w:pStyle w:val="Heading2"/>
      </w:pPr>
      <w:bookmarkStart w:id="386" w:name="_Toc386"/>
      <w:r>
        <w:t>Bron</w:t>
      </w:r>
      <w:bookmarkEnd w:id="386"/>
    </w:p>
    <w:p>
      <w:pPr>
        <w:numPr>
          <w:ilvl w:val="0"/>
          <w:numId w:val="3"/>
        </w:numPr>
      </w:pPr>
      <w:r>
        <w:rPr/>
        <w:t xml:space="preserve">UMC Utrecht</w:t>
      </w:r>
    </w:p>
    <w:p/>
    <w:p>
      <w:pPr>
        <w:pStyle w:val="Heading1"/>
      </w:pPr>
      <w:bookmarkStart w:id="387" w:name="_Toc387"/>
      <w:r>
        <w:t>6.1 Korte afstand tot productie en gebruik wordt hoger gewaardeerd</w:t>
      </w:r>
      <w:bookmarkEnd w:id="387"/>
    </w:p>
    <w:p>
      <w:pPr/>
      <w:r>
        <w:rPr>
          <w:b w:val="1"/>
          <w:bCs w:val="1"/>
        </w:rPr>
        <w:t xml:space="preserve">Productgroep: </w:t>
      </w:r>
      <w:r>
        <w:rPr/>
        <w:t xml:space="preserve">Transport en productie</w:t>
      </w:r>
    </w:p>
    <w:p>
      <w:pPr/>
      <w:r>
        <w:rPr>
          <w:b w:val="1"/>
          <w:bCs w:val="1"/>
        </w:rPr>
        <w:t xml:space="preserve">Voorwaarden: </w:t>
      </w:r>
      <w:r>
        <w:rPr/>
        <w:t xml:space="preserve">Gunningscriteria</w:t>
      </w:r>
    </w:p>
    <w:p>
      <w:pPr>
        <w:pStyle w:val="Heading2"/>
      </w:pPr>
      <w:bookmarkStart w:id="388" w:name="_Toc388"/>
      <w:r>
        <w:t>Thema's</w:t>
      </w:r>
      <w:bookmarkEnd w:id="388"/>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389" w:name="_Toc389"/>
      <w:r>
        <w:t>Tekst</w:t>
      </w:r>
      <w:bookmarkEnd w:id="389"/>
    </w:p>
    <w:p>
      <w:pPr/>
      <w:r>
        <w:rPr/>
        <w:t xml:space="preserve">Inschrijver geeft inzicht in de afstand tussen de productie- en leveringslocatie, de vervoermiddel(en) die deze afstand afleggen en de CO2-uitstoot die daarmee gepaard gaat. Hoe minder uitstoot, hoe hoger de waardering.</w:t>
      </w:r>
    </w:p>
    <w:p>
      <w:pPr>
        <w:pStyle w:val="Heading2"/>
      </w:pPr>
      <w:bookmarkStart w:id="390" w:name="_Toc390"/>
      <w:r>
        <w:t>Mogelijke bewijsmiddelen</w:t>
      </w:r>
      <w:bookmarkEnd w:id="390"/>
    </w:p>
    <w:p>
      <w:pPr/>
      <w:r>
        <w:rPr/>
        <w:t xml:space="preserve">-</w:t>
      </w:r>
    </w:p>
    <w:p>
      <w:pPr>
        <w:pStyle w:val="Heading2"/>
      </w:pPr>
      <w:bookmarkStart w:id="391" w:name="_Toc391"/>
      <w:r>
        <w:t>Wijze van beoordelen</w:t>
      </w:r>
      <w:bookmarkEnd w:id="391"/>
    </w:p>
    <w:p>
      <w:pPr/>
      <w:r>
        <w:rPr/>
        <w:t xml:space="preserve">Inschrijver gebruikt voor de berekening de EcoTransit tool of een vergelijkbare CO2-calculator. De berekening gebeurt op basis van de twee meest gebruikte transportmiddelen en hun afstand, met de volgende koolstofcoëfficiënten:
Transportmiddel CO₂-coëfficiënt (kgCO₂eq/ton.km)
Luchttransport 1,6995
Spoorvervoer 0,0277
Binnenvaart 0,0258
Zeevaart 0,0104
Wegtransport 0,1666
Op basis van de berekende CO2-uitstoot (kgCO₂eq/ton) wordt een score toegekend:
&amp;lt; 50 5 punten
50 – &amp;lt; 100 4 punten
100 – &amp;lt; 200 3 punten
200 – &amp;lt; 300 2 punten
300 – &amp;lt; 500 1 punt
≥ 500 0 punten</w:t>
      </w:r>
    </w:p>
    <w:p>
      <w:pPr>
        <w:pStyle w:val="Heading2"/>
      </w:pPr>
      <w:bookmarkStart w:id="392" w:name="_Toc392"/>
      <w:r>
        <w:t>Bijbehorende contractbepaling</w:t>
      </w:r>
      <w:bookmarkEnd w:id="392"/>
    </w:p>
    <w:p>
      <w:pPr/>
      <w:r>
        <w:rPr/>
        <w:t xml:space="preserve">-</w:t>
      </w:r>
    </w:p>
    <w:p>
      <w:pPr>
        <w:pStyle w:val="Heading2"/>
      </w:pPr>
      <w:bookmarkStart w:id="393" w:name="_Toc393"/>
      <w:r>
        <w:t>Toelichting voor inkopende organisatie</w:t>
      </w:r>
      <w:bookmarkEnd w:id="393"/>
    </w:p>
    <w:p>
      <w:pPr/>
      <w:r>
        <w:rPr/>
        <w:t xml:space="preserve">Inschrijver geeft aan:
-De hoofdlocatie waar het medische hulpmiddel wordt geproduceerd
-De twee meest gebruikte transportmiddelen
-De afstand in kilometers tussen de productie- en leveringslocatie
-De CO2-uitstoot van de meest gebruikte transportmiddelen</w:t>
      </w:r>
    </w:p>
    <w:p>
      <w:pPr>
        <w:pStyle w:val="Heading2"/>
      </w:pPr>
      <w:bookmarkStart w:id="394" w:name="_Toc394"/>
      <w:r>
        <w:t>External links</w:t>
      </w:r>
      <w:bookmarkEnd w:id="394"/>
    </w:p>
    <w:p>
      <w:pPr>
        <w:pStyle w:val="Heading2"/>
      </w:pPr>
      <w:bookmarkStart w:id="395" w:name="_Toc395"/>
      <w:r>
        <w:t>Bron</w:t>
      </w:r>
      <w:bookmarkEnd w:id="395"/>
    </w:p>
    <w:p>
      <w:pPr>
        <w:numPr>
          <w:ilvl w:val="0"/>
          <w:numId w:val="3"/>
        </w:numPr>
      </w:pPr>
      <w:r>
        <w:rPr/>
        <w:t xml:space="preserve">Resah/Anfor</w:t>
      </w:r>
    </w:p>
    <w:p/>
    <w:p>
      <w:pPr>
        <w:pStyle w:val="Heading1"/>
      </w:pPr>
      <w:bookmarkStart w:id="396" w:name="_Toc396"/>
      <w:r>
        <w:t>6.2 Minder productielocaties wordt hoger gewaardeerd</w:t>
      </w:r>
      <w:bookmarkEnd w:id="396"/>
    </w:p>
    <w:p>
      <w:pPr/>
      <w:r>
        <w:rPr>
          <w:b w:val="1"/>
          <w:bCs w:val="1"/>
        </w:rPr>
        <w:t xml:space="preserve">Productgroep: </w:t>
      </w:r>
      <w:r>
        <w:rPr/>
        <w:t xml:space="preserve">Transport en productie</w:t>
      </w:r>
    </w:p>
    <w:p>
      <w:pPr/>
      <w:r>
        <w:rPr>
          <w:b w:val="1"/>
          <w:bCs w:val="1"/>
        </w:rPr>
        <w:t xml:space="preserve">Voorwaarden: </w:t>
      </w:r>
      <w:r>
        <w:rPr/>
        <w:t xml:space="preserve">Gunningscriteria</w:t>
      </w:r>
    </w:p>
    <w:p>
      <w:pPr>
        <w:pStyle w:val="Heading2"/>
      </w:pPr>
      <w:bookmarkStart w:id="397" w:name="_Toc397"/>
      <w:r>
        <w:t>Thema's</w:t>
      </w:r>
      <w:bookmarkEnd w:id="397"/>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398" w:name="_Toc398"/>
      <w:r>
        <w:t>Tekst</w:t>
      </w:r>
      <w:bookmarkEnd w:id="398"/>
    </w:p>
    <w:p>
      <w:pPr/>
      <w:r>
        <w:rPr/>
        <w:t xml:space="preserve">Inschrijver geeft aan op hoeveel verschillende locaties het medische hulpmiddel wordt geproduceerd en geassembleerd. Sterilisatie- en opslaglocaties worden niet meegerekend. Hoe minder locaties, hoe hoger de waardering.</w:t>
      </w:r>
    </w:p>
    <w:p>
      <w:pPr>
        <w:pStyle w:val="Heading2"/>
      </w:pPr>
      <w:bookmarkStart w:id="399" w:name="_Toc399"/>
      <w:r>
        <w:t>Mogelijke bewijsmiddelen</w:t>
      </w:r>
      <w:bookmarkEnd w:id="399"/>
    </w:p>
    <w:p>
      <w:pPr/>
      <w:r>
        <w:rPr/>
        <w:t xml:space="preserve">-</w:t>
      </w:r>
    </w:p>
    <w:p>
      <w:pPr>
        <w:pStyle w:val="Heading2"/>
      </w:pPr>
      <w:bookmarkStart w:id="400" w:name="_Toc400"/>
      <w:r>
        <w:t>Wijze van beoordelen</w:t>
      </w:r>
      <w:bookmarkEnd w:id="400"/>
    </w:p>
    <w:p>
      <w:pPr/>
      <w:r>
        <w:rPr/>
        <w:t xml:space="preserve">Beoordeling:                                                                       Aantal productielocaties/score                                        1/ 5 punten                                                                         2/ 2 punten                                                                            3 of meer/ 0 punten</w:t>
      </w:r>
    </w:p>
    <w:p>
      <w:pPr>
        <w:pStyle w:val="Heading2"/>
      </w:pPr>
      <w:bookmarkStart w:id="401" w:name="_Toc401"/>
      <w:r>
        <w:t>Bijbehorende contractbepaling</w:t>
      </w:r>
      <w:bookmarkEnd w:id="401"/>
    </w:p>
    <w:p>
      <w:pPr/>
      <w:r>
        <w:rPr/>
        <w:t xml:space="preserve">-</w:t>
      </w:r>
    </w:p>
    <w:p>
      <w:pPr>
        <w:pStyle w:val="Heading2"/>
      </w:pPr>
      <w:bookmarkStart w:id="402" w:name="_Toc402"/>
      <w:r>
        <w:t>Toelichting voor inkopende organisatie</w:t>
      </w:r>
      <w:bookmarkEnd w:id="402"/>
    </w:p>
    <w:p>
      <w:pPr/>
      <w:r>
        <w:rPr/>
        <w:t xml:space="preserve">-</w:t>
      </w:r>
    </w:p>
    <w:p>
      <w:pPr>
        <w:pStyle w:val="Heading2"/>
      </w:pPr>
      <w:bookmarkStart w:id="403" w:name="_Toc403"/>
      <w:r>
        <w:t>External links</w:t>
      </w:r>
      <w:bookmarkEnd w:id="403"/>
    </w:p>
    <w:p>
      <w:pPr>
        <w:pStyle w:val="Heading2"/>
      </w:pPr>
      <w:bookmarkStart w:id="404" w:name="_Toc404"/>
      <w:r>
        <w:t>Bron</w:t>
      </w:r>
      <w:bookmarkEnd w:id="404"/>
    </w:p>
    <w:p>
      <w:pPr>
        <w:numPr>
          <w:ilvl w:val="0"/>
          <w:numId w:val="3"/>
        </w:numPr>
      </w:pPr>
      <w:r>
        <w:rPr/>
        <w:t xml:space="preserve">Resah/Anfor</w:t>
      </w:r>
    </w:p>
    <w:p/>
    <w:p>
      <w:pPr>
        <w:pStyle w:val="Heading1"/>
      </w:pPr>
      <w:bookmarkStart w:id="405" w:name="_Toc405"/>
      <w:r>
        <w:t>7.1 Een hoger % social return wordt gewaardeerd</w:t>
      </w:r>
      <w:bookmarkEnd w:id="405"/>
    </w:p>
    <w:p>
      <w:pPr/>
      <w:r>
        <w:rPr>
          <w:b w:val="1"/>
          <w:bCs w:val="1"/>
        </w:rPr>
        <w:t xml:space="preserve">Productgroep: </w:t>
      </w:r>
      <w:r>
        <w:rPr/>
        <w:t xml:space="preserve">Sociale impact</w:t>
      </w:r>
    </w:p>
    <w:p>
      <w:pPr/>
      <w:r>
        <w:rPr>
          <w:b w:val="1"/>
          <w:bCs w:val="1"/>
        </w:rPr>
        <w:t xml:space="preserve">Voorwaarden: </w:t>
      </w:r>
      <w:r>
        <w:rPr/>
        <w:t xml:space="preserve">Gunningscriteria</w:t>
      </w:r>
    </w:p>
    <w:p>
      <w:pPr>
        <w:pStyle w:val="Heading2"/>
      </w:pPr>
      <w:bookmarkStart w:id="406" w:name="_Toc406"/>
      <w:r>
        <w:t>Thema's</w:t>
      </w:r>
      <w:bookmarkEnd w:id="406"/>
    </w:p>
    <w:p>
      <w:pPr/>
      <w:r>
        <w:pict>
          <v:shape type="#_x0000_t75" stroked="f" style="width:47.376623376623pt; height:48pt; margin-left:0pt; margin-top:0pt; mso-position-horizontal:left; mso-position-vertical:top; mso-position-horizontal-relative:char; mso-position-vertical-relative:line;">
            <w10:wrap type="inline"/>
            <v:imagedata r:id="rId1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407" w:name="_Toc407"/>
      <w:r>
        <w:t>Tekst</w:t>
      </w:r>
      <w:bookmarkEnd w:id="407"/>
    </w:p>
    <w:p>
      <w:pPr/>
      <w:r>
        <w:rPr/>
        <w:t xml:space="preserve">Inschrijver draagt een percentage van [in te vullen: loonsom, aanneemsom of het aantal in te zetten uren] bij aan social return. Een bijdrage van meer dan 5% wordt hoger gewaardeerd bij de beoordeling van de inschrijving.
In een plan van aanpak licht Inschrijver toe hoe hij invulling geeft aan dit gunningscriterium.</w:t>
      </w:r>
    </w:p>
    <w:p>
      <w:pPr>
        <w:pStyle w:val="Heading2"/>
      </w:pPr>
      <w:bookmarkStart w:id="408" w:name="_Toc408"/>
      <w:r>
        <w:t>Mogelijke bewijsmiddelen</w:t>
      </w:r>
      <w:bookmarkEnd w:id="408"/>
    </w:p>
    <w:p>
      <w:pPr/>
      <w:r>
        <w:rPr/>
        <w:t xml:space="preserve">Plan van Aanpak</w:t>
      </w:r>
    </w:p>
    <w:p>
      <w:pPr>
        <w:pStyle w:val="Heading2"/>
      </w:pPr>
      <w:bookmarkStart w:id="409" w:name="_Toc409"/>
      <w:r>
        <w:t>Wijze van beoordelen</w:t>
      </w:r>
      <w:bookmarkEnd w:id="409"/>
    </w:p>
    <w:p>
      <w:pPr/>
      <w:r>
        <w:rPr/>
        <w:t xml:space="preserve">Hoe hoger het percentage [in te vullen: loonsom, aanneemsom of het aantal in te zetten uren] hoe hoger de score (mits goed onderbouwd). Social return boven de 5% wordt hoger gewaardeerd.</w:t>
      </w:r>
    </w:p>
    <w:p>
      <w:pPr>
        <w:pStyle w:val="Heading2"/>
      </w:pPr>
      <w:bookmarkStart w:id="410" w:name="_Toc410"/>
      <w:r>
        <w:t>Bijbehorende contractbepaling</w:t>
      </w:r>
      <w:bookmarkEnd w:id="410"/>
    </w:p>
    <w:p>
      <w:pPr/>
      <w:r>
        <w:rPr/>
        <w:t xml:space="preserve">-</w:t>
      </w:r>
    </w:p>
    <w:p>
      <w:pPr>
        <w:pStyle w:val="Heading2"/>
      </w:pPr>
      <w:bookmarkStart w:id="411" w:name="_Toc411"/>
      <w:r>
        <w:t>Toelichting voor inkopende organisatie</w:t>
      </w:r>
      <w:bookmarkEnd w:id="411"/>
    </w:p>
    <w:p>
      <w:pPr/>
      <w:r>
        <w:rPr/>
        <w:t xml:space="preserve">Social return: is bedoeld om werkgelegenheid te creëren voor mensen met een afstand tot de arbeidsmarkt. Onder social return vallen de volgende doelgroepen:
1. Wet Werk en Bijstand (WWB) gerechtigden, die langer werkloos zijn dan 12 maanden, 50 jaar of ouder zijn en/of die zonder re-integratieondersteuning of andere begeleiding niet zelfstandig aan werk kunnen komen.
2. Werkloosheidswet (WW) gerechtigden, die langer werkloos zijn dan 12 maanden, en/of 50 jaar of ouder zijn.
3. Wet Werk en Inkomen naar Arbeidsvermogen (WIA) gerechtigden.
4. Regeling Werkhervatting Gedeeltelijk Arbeidsgeschikten (WGA) gerechtigden.
5. Wet Arbeidsongeschiktheid zelfstandigen (WAZ) gerechtigden.
6. Wet Arbeidsongeschiktheidsvoorziening Jonggehandicapten (WAJONG) gerechtigden.
7. Wet Inkomensvoorziening Oudere en gedeeltelijk Arbeidsongeschikte Werkloze werknemers (IOAW) gerechtigden.
8. De Wet Inkomensvoorziening Oudere en gedeeltelijk Arbeidsongeschikte gewezen Zelfstandigen (IOAZ) gerechtigden.
9. Wet Sociale Werkvoorziening (WSW) geïndiceerden
10. Leer/werkplekken voor niet uitkeringsgerechtigde werkzoekenden (nuggers).
11. Leer/werkplekken voor vroegtijdig schoolverlaters en jongeren met onvoldoende kwalificaties.
12. Leer/werkplekken in het kader van BOL/BBL opleidingen, VSO en/of praktijkscholen.
(Doelgroepen kunnen per aanbesteding variëren).
In het plan van aanpak beschrijft Inschrijver:
- In hoeverre hij de uitvoerbaarheid van de social return binnen de opdracht kan garanderen.
- Op welke locatie de social return wordt uitgevoerd (deze hoeft niet de locatie van de inschrijver te zijn, maar moet wel in relatie staan tot de opdracht).
- Hoe hij voorkomt dat bestaande medewerkers worden verdrongen door medewerkers uit de social return doelgroep.
Verder onderbouwt Inschrijver in het plan van aanpak de volgende aspecten:
- Totaal aantal in te zetten social return medewerkers
- De periode waarin de medewerkers worden ingezet
- Indicatie van medewerkers (bijvoorbeeld WWB, WIA, WSW)
- Gebruikte wervingskanaal (bijvoorbeeld gemeente of UWV)
- In het contract vastgelegde waarde van de [in te vullen: loonsom, aanneemsom of het aantal in te zetten uren].</w:t>
      </w:r>
    </w:p>
    <w:p>
      <w:pPr>
        <w:pStyle w:val="Heading2"/>
      </w:pPr>
      <w:bookmarkStart w:id="412" w:name="_Toc412"/>
      <w:r>
        <w:t>External links</w:t>
      </w:r>
      <w:bookmarkEnd w:id="412"/>
    </w:p>
    <w:p>
      <w:pPr>
        <w:pStyle w:val="Heading2"/>
      </w:pPr>
      <w:bookmarkStart w:id="413" w:name="_Toc413"/>
      <w:r>
        <w:t>Bron</w:t>
      </w:r>
      <w:bookmarkEnd w:id="413"/>
    </w:p>
    <w:p>
      <w:pPr>
        <w:numPr>
          <w:ilvl w:val="0"/>
          <w:numId w:val="3"/>
        </w:numPr>
      </w:pPr>
      <w:r>
        <w:rPr/>
        <w:t xml:space="preserve">MVI criteria tool</w:t>
      </w:r>
    </w:p>
    <w:p/>
    <w:p>
      <w:pPr>
        <w:pStyle w:val="Heading1"/>
      </w:pPr>
      <w:bookmarkStart w:id="414" w:name="_Toc414"/>
      <w:r>
        <w:t>7.2 Verbeteren arbeidsomstandigheden, mensenrechten en leefbaar loon (ISV)</w:t>
      </w:r>
      <w:bookmarkEnd w:id="414"/>
    </w:p>
    <w:p>
      <w:pPr/>
      <w:r>
        <w:rPr>
          <w:b w:val="1"/>
          <w:bCs w:val="1"/>
        </w:rPr>
        <w:t xml:space="preserve">Productgroep: </w:t>
      </w:r>
      <w:r>
        <w:rPr/>
        <w:t xml:space="preserve">Sociale impact</w:t>
      </w:r>
    </w:p>
    <w:p>
      <w:pPr/>
      <w:r>
        <w:rPr>
          <w:b w:val="1"/>
          <w:bCs w:val="1"/>
        </w:rPr>
        <w:t xml:space="preserve">Voorwaarden: </w:t>
      </w:r>
      <w:r>
        <w:rPr/>
        <w:t xml:space="preserve">Eisen</w:t>
      </w:r>
    </w:p>
    <w:p>
      <w:pPr>
        <w:pStyle w:val="Heading2"/>
      </w:pPr>
      <w:bookmarkStart w:id="415" w:name="_Toc415"/>
      <w:r>
        <w:t>Thema's</w:t>
      </w:r>
      <w:bookmarkEnd w:id="415"/>
    </w:p>
    <w:p>
      <w:pPr/>
      <w:r>
        <w:pict>
          <v:shape type="#_x0000_t75" stroked="f" style="width:47.376623376623pt; height:48pt; margin-left:0pt; margin-top:0pt; mso-position-horizontal:left; mso-position-vertical:top; mso-position-horizontal-relative:char; mso-position-vertical-relative:line;">
            <w10:wrap type="inline"/>
            <v:imagedata r:id="rId19"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16" w:name="_Toc416"/>
      <w:r>
        <w:t>Tekst</w:t>
      </w:r>
      <w:bookmarkEnd w:id="416"/>
    </w:p>
    <w:p>
      <w:pPr/>
      <w:r>
        <w:rPr/>
        <w:t xml:space="preserve">Inschrijver committeert zich contractueel aan de Internationale Sociale Voorwaarden (ISV). Deze voorwaarden zijn opgesteld om misstanden in de inkoopketen te voorkomen, zoals kinderarbeid, hongerlonen en onmenselijke arbeidsomstandigheden.</w:t>
      </w:r>
    </w:p>
    <w:p>
      <w:pPr>
        <w:pStyle w:val="Heading2"/>
      </w:pPr>
      <w:bookmarkStart w:id="417" w:name="_Toc417"/>
      <w:r>
        <w:t>Mogelijke bewijsmiddelen</w:t>
      </w:r>
      <w:bookmarkEnd w:id="417"/>
    </w:p>
    <w:p>
      <w:pPr/>
      <w:r>
        <w:rPr/>
        <w:t xml:space="preserve">-</w:t>
      </w:r>
    </w:p>
    <w:p>
      <w:pPr>
        <w:pStyle w:val="Heading2"/>
      </w:pPr>
      <w:bookmarkStart w:id="418" w:name="_Toc418"/>
      <w:r>
        <w:t>Wijze van beoordelen</w:t>
      </w:r>
      <w:bookmarkEnd w:id="418"/>
    </w:p>
    <w:p>
      <w:pPr/>
      <w:r>
        <w:rPr/>
        <w:t xml:space="preserve">Geen, alleen ‘ja’ als antwoord.&amp;nbsp;</w:t>
      </w:r>
    </w:p>
    <w:p>
      <w:pPr>
        <w:pStyle w:val="Heading2"/>
      </w:pPr>
      <w:bookmarkStart w:id="419" w:name="_Toc419"/>
      <w:r>
        <w:t>Bijbehorende contractbepaling</w:t>
      </w:r>
      <w:bookmarkEnd w:id="419"/>
    </w:p>
    <w:p>
      <w:pPr/>
      <w:r>
        <w:rPr/>
        <w:t xml:space="preserve">-</w:t>
      </w:r>
    </w:p>
    <w:p>
      <w:pPr>
        <w:pStyle w:val="Heading2"/>
      </w:pPr>
      <w:bookmarkStart w:id="420" w:name="_Toc420"/>
      <w:r>
        <w:t>Toelichting voor inkopende organisatie</w:t>
      </w:r>
      <w:bookmarkEnd w:id="420"/>
    </w:p>
    <w:p>
      <w:pPr/>
      <w:r>
        <w:rPr/>
        <w:t xml:space="preserve">Let op!
- Alleen van toepassing bij een meerjarig contract
- Alleen van toepassing op productgroepen met een hoog risico op misstanden: ICT, textiel, koffie etc. Controleer de risico’s via: link MVO risicochecker
Met de Internationale Sociale Voorwaarden (ISV) wil de Rijksoverheid misstanden op het gebied van arbeidsomstandigheden, mensenrechten en milieu in de toeleveringsketen tegengaan. Dit doen de ISV met due diligence: bedrijf brengt in kaart welke bedrijfsactiviteiten negatieve gevolgen hebben voor mens en milieu. Vervolgens wordt besproken hoe deze negatieve gevolgen kunnen worden voorkomen. Meer informatie: zie linkje PIANOo</w:t>
      </w:r>
    </w:p>
    <w:p>
      <w:pPr>
        <w:pStyle w:val="Heading2"/>
      </w:pPr>
      <w:bookmarkStart w:id="421" w:name="_Toc421"/>
      <w:r>
        <w:t>External links</w:t>
      </w:r>
      <w:bookmarkEnd w:id="421"/>
    </w:p>
    <w:p>
      <w:hyperlink r:id="rId42" w:history="1">
        <w:r>
          <w:t xml:space="preserve">https://mvorisicochecker.nl/</w:t>
        </w:r>
      </w:hyperlink>
    </w:p>
    <w:p>
      <w:hyperlink r:id="rId43" w:history="1">
        <w:r>
          <w:t xml:space="preserve">https://www.pianoo.nl/nl/themas/maatschappelijk-verantwoord-inkopen/ketenverantwoordelijkheid/over-2</w:t>
        </w:r>
      </w:hyperlink>
    </w:p>
    <w:p>
      <w:pPr>
        <w:pStyle w:val="Heading2"/>
      </w:pPr>
      <w:bookmarkStart w:id="422" w:name="_Toc422"/>
      <w:r>
        <w:t>Bron</w:t>
      </w:r>
      <w:bookmarkEnd w:id="422"/>
    </w:p>
    <w:p>
      <w:pPr>
        <w:numPr>
          <w:ilvl w:val="0"/>
          <w:numId w:val="3"/>
        </w:numPr>
      </w:pPr>
      <w:r>
        <w:rPr/>
        <w:t xml:space="preserve">UMC Utrecht</w:t>
      </w:r>
    </w:p>
    <w:p/>
    <w:p>
      <w:pPr>
        <w:pStyle w:val="Heading1"/>
      </w:pPr>
      <w:bookmarkStart w:id="423" w:name="_Toc423"/>
      <w:r>
        <w:t>8.1 Advies over afvalverwerking</w:t>
      </w:r>
      <w:bookmarkEnd w:id="423"/>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424" w:name="_Toc424"/>
      <w:r>
        <w:t>Thema's</w:t>
      </w:r>
      <w:bookmarkEnd w:id="424"/>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25" w:name="_Toc425"/>
      <w:r>
        <w:t>Tekst</w:t>
      </w:r>
      <w:bookmarkEnd w:id="425"/>
    </w:p>
    <w:p>
      <w:pPr/>
      <w:r>
        <w:rPr/>
        <w:t xml:space="preserve">Naast het ophalen en verwerken van afval vervult Inschrijver ook een adviserende rol om de afvalverwerking van Opdrachtgever te verbeteren. Deze adviesrol draagt bij aan:
- Het helpen bij het kiezen van producten die makkelijk te recyclen zijn
- Het snel kunnen inspelen op innovaties, ontwikkelingen en wet- en regelgeving binnen de afvalsector.
- Het verbeteren van operationele processen. Dit door actief mee te denken over hoe afval beter kan worden ingezameld en hoe dit vastgelegd kan worden in de interne werkinstructies.
- Het bewustmaken van inkopende organisatie van de mogelijkheden om afvalverwerking te verbeteren.</w:t>
      </w:r>
    </w:p>
    <w:p>
      <w:pPr>
        <w:pStyle w:val="Heading2"/>
      </w:pPr>
      <w:bookmarkStart w:id="426" w:name="_Toc426"/>
      <w:r>
        <w:t>Mogelijke bewijsmiddelen</w:t>
      </w:r>
      <w:bookmarkEnd w:id="426"/>
    </w:p>
    <w:p>
      <w:pPr/>
      <w:r>
        <w:rPr/>
        <w:t xml:space="preserve">-</w:t>
      </w:r>
    </w:p>
    <w:p>
      <w:pPr>
        <w:pStyle w:val="Heading2"/>
      </w:pPr>
      <w:bookmarkStart w:id="427" w:name="_Toc427"/>
      <w:r>
        <w:t>Wijze van beoordelen</w:t>
      </w:r>
      <w:bookmarkEnd w:id="427"/>
    </w:p>
    <w:p>
      <w:pPr/>
      <w:r>
        <w:rPr/>
        <w:t xml:space="preserve">Beschrijving sluit aan bij de minimumeisen van Programma van Eisen (PvE). Wanneer hier niet aan wordt voldaan, stopt de inschrijving
Vragen worden volledig beantwoord. Onvolledige beantwoording leidt tot een lagere waardering
Maatregelen zijn SMART geformuleerd en sluiten aan bij de huidige situatie, gestelde doelen en ambities.
Adviesrol wordt op een structurele wijze ingericht en draagt bij aan doelen en ambities.
Adviseurs en andere aanwezigen dragen bij aan de doelstellingen van Opdrachtgever, met als doel een accurate en professionele dienstverlening te realiseren.</w:t>
      </w:r>
    </w:p>
    <w:p>
      <w:pPr>
        <w:pStyle w:val="Heading2"/>
      </w:pPr>
      <w:bookmarkStart w:id="428" w:name="_Toc428"/>
      <w:r>
        <w:t>Bijbehorende contractbepaling</w:t>
      </w:r>
      <w:bookmarkEnd w:id="428"/>
    </w:p>
    <w:p>
      <w:pPr/>
      <w:r>
        <w:rPr/>
        <w:t xml:space="preserve">-</w:t>
      </w:r>
    </w:p>
    <w:p>
      <w:pPr>
        <w:pStyle w:val="Heading2"/>
      </w:pPr>
      <w:bookmarkStart w:id="429" w:name="_Toc429"/>
      <w:r>
        <w:t>Toelichting voor inkopende organisatie</w:t>
      </w:r>
      <w:bookmarkEnd w:id="429"/>
    </w:p>
    <w:p>
      <w:pPr/>
      <w:r>
        <w:rPr/>
        <w:t xml:space="preserve">Volgende tekst kan worden overgenomen in de aanbesteding
[Zorginstelling] zit in een transitie naar een circulaire bedrijfsvoering. Dat betekent onder andere dat [Zorginstelling] de hoeveelheid afval wil terugdringen én het afval dat vrijkomt zo hoogwaardig mogelijk wil laten verwerken. Nauwe samenwerking met ketenpartners, waaronder de afvaldienstverlener is daarin cruciaal. [Zorginstelling] wenst gebruik te maken van de expertise van Inschrijver op het gebied van afvalverwerking om de juiste keuzes te kunnen maken op het gebied van inkoop van materialen, de afvalstromen die gescheiden moeten worden ingezameld en de wijze waarop deze verwerkt moeten worden.
Doelstelling
[Zorginstelling] heeft de wens een Inschrijver te contracteren die niet alleen afval ophaalt en verwerkt, maar die ook nadrukkelijk een adviesrol gaat vervullen met als doel om de circulaire ambities van [Zorginstelling] te helpen bereiken. De adviesrol dient bij te dragen aan:
• Sturen op het inkopen van de gewenste materialen c.q. het uitsluiten van ongewenste materialen met het oog op een zo hoogwaardig mogelijke verwerking van het afval;
• Snel en effectief kunnen inspelen op innovaties, ontwikkelingen en wet- en regelgeving;
• Continu verbeteren in de operationele processen; onder andere door het leveren van een actieve bijdrage aan het opstellen van interne werkinstructies voor het afvoeren van afval, het oppakken van vragen en knelpunten op de werkvloer;
• Het creëren van bewustwording, breed in de organisatie ten aanzien van verbetermogelijkheden en bereikte resultaten en mogelijke hogere verwerkingsniveaus.
Vraagstelling
[Zorginstelling] wenst inzicht te krijgen op welke wijze Inschrijver een bijdrage levert aan de doelen en ambities die [Zorginstelling] heeft gesteld. Inschrijver levert een beschrijving aan waarin wordt ingegaan op:
1. Op welke wijze Inschrijver adviesdienstverlening concreet zal inrichten:
a. Welke mensen (met welk profiel) en middelen worden ingezet in uw organisatie en in de samenwerking met [Zorginstelling].
b. Hoe de adviesrol en de samenwerking met [Zorginstelling] procesmatig wordt georganiseerd.
2. Met de kennis van nu, een voorzet voor concrete acties en/of projecten waarmee Inschrijver denkt praktisch invulling te kunnen geven aan de adviesrol. Inschrijver dient het te verwachten resultaat van voorgestelde acties en/of projecten waar mogelijk te onderbouwen, bijvoorbeeld met resultaten die behaald zijn bij andere klanten.
3. De wijze waarop Inschrijver mogelijke verbeteringen op het gebied van afvalinzameling en -verwerking zal implementeren. Inschrijver dient waar mogelijk voorbeelden te geven van succesvolle implementaties van verbeteringen bij andere klanten.</w:t>
      </w:r>
    </w:p>
    <w:p>
      <w:pPr>
        <w:pStyle w:val="Heading2"/>
      </w:pPr>
      <w:bookmarkStart w:id="430" w:name="_Toc430"/>
      <w:r>
        <w:t>External links</w:t>
      </w:r>
      <w:bookmarkEnd w:id="430"/>
    </w:p>
    <w:p>
      <w:pPr>
        <w:pStyle w:val="Heading2"/>
      </w:pPr>
      <w:bookmarkStart w:id="431" w:name="_Toc431"/>
      <w:r>
        <w:t>Bron</w:t>
      </w:r>
      <w:bookmarkEnd w:id="431"/>
    </w:p>
    <w:p>
      <w:pPr>
        <w:numPr>
          <w:ilvl w:val="0"/>
          <w:numId w:val="3"/>
        </w:numPr>
      </w:pPr>
      <w:r>
        <w:rPr/>
        <w:t xml:space="preserve">UMC Utrecht</w:t>
      </w:r>
    </w:p>
    <w:p/>
    <w:p>
      <w:pPr>
        <w:pStyle w:val="Heading1"/>
      </w:pPr>
      <w:bookmarkStart w:id="432" w:name="_Toc432"/>
      <w:r>
        <w:t>8.2 Vermindering CO2 uitstoot tijdens contractperiode</w:t>
      </w:r>
      <w:bookmarkEnd w:id="432"/>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433" w:name="_Toc433"/>
      <w:r>
        <w:t>Thema's</w:t>
      </w:r>
      <w:bookmarkEnd w:id="433"/>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434" w:name="_Toc434"/>
      <w:r>
        <w:t>Tekst</w:t>
      </w:r>
      <w:bookmarkEnd w:id="434"/>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435" w:name="_Toc435"/>
      <w:r>
        <w:t>Mogelijke bewijsmiddelen</w:t>
      </w:r>
      <w:bookmarkEnd w:id="435"/>
    </w:p>
    <w:p>
      <w:pPr/>
      <w:r>
        <w:rPr/>
        <w:t xml:space="preserve">Conform SBTI of vergelijkbare rapportages.</w:t>
      </w:r>
    </w:p>
    <w:p>
      <w:pPr>
        <w:pStyle w:val="Heading2"/>
      </w:pPr>
      <w:bookmarkStart w:id="436" w:name="_Toc436"/>
      <w:r>
        <w:t>Wijze van beoordelen</w:t>
      </w:r>
      <w:bookmarkEnd w:id="436"/>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437" w:name="_Toc437"/>
      <w:r>
        <w:t>Bijbehorende contractbepaling</w:t>
      </w:r>
      <w:bookmarkEnd w:id="437"/>
    </w:p>
    <w:p>
      <w:pPr/>
      <w:r>
        <w:rPr/>
        <w:t xml:space="preserve">-</w:t>
      </w:r>
    </w:p>
    <w:p>
      <w:pPr>
        <w:pStyle w:val="Heading2"/>
      </w:pPr>
      <w:bookmarkStart w:id="438" w:name="_Toc438"/>
      <w:r>
        <w:t>Toelichting voor inkopende organisatie</w:t>
      </w:r>
      <w:bookmarkEnd w:id="438"/>
    </w:p>
    <w:p>
      <w:pPr/>
      <w:r>
        <w:rPr/>
        <w:t xml:space="preserve">-</w:t>
      </w:r>
    </w:p>
    <w:p>
      <w:pPr>
        <w:pStyle w:val="Heading2"/>
      </w:pPr>
      <w:bookmarkStart w:id="439" w:name="_Toc439"/>
      <w:r>
        <w:t>External links</w:t>
      </w:r>
      <w:bookmarkEnd w:id="439"/>
    </w:p>
    <w:p>
      <w:pPr>
        <w:pStyle w:val="Heading2"/>
      </w:pPr>
      <w:bookmarkStart w:id="440" w:name="_Toc440"/>
      <w:r>
        <w:t>Bron</w:t>
      </w:r>
      <w:bookmarkEnd w:id="440"/>
    </w:p>
    <w:p>
      <w:pPr>
        <w:numPr>
          <w:ilvl w:val="0"/>
          <w:numId w:val="3"/>
        </w:numPr>
      </w:pPr>
      <w:r>
        <w:rPr/>
        <w:t xml:space="preserve">UMC Utrecht</w:t>
      </w:r>
    </w:p>
    <w:p/>
    <w:p>
      <w:pPr>
        <w:pStyle w:val="Heading1"/>
      </w:pPr>
      <w:bookmarkStart w:id="441" w:name="_Toc441"/>
      <w:r>
        <w:t>8.3 Bijdrage aan bewustwording en vergroten van kennis</w:t>
      </w:r>
      <w:bookmarkEnd w:id="441"/>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442" w:name="_Toc442"/>
      <w:r>
        <w:t>Thema's</w:t>
      </w:r>
      <w:bookmarkEnd w:id="442"/>
    </w:p>
    <w:p>
      <w:pPr/>
      <w:r>
        <w:pict>
          <v:shape type="#_x0000_t75" stroked="f" style="width:47.376623376623pt; height:48pt; margin-left:0pt; margin-top:0pt; mso-position-horizontal:left; mso-position-vertical:top; mso-position-horizontal-relative:char; mso-position-vertical-relative:line;">
            <w10:wrap type="inline"/>
            <v:imagedata r:id="rId19"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43" w:name="_Toc443"/>
      <w:r>
        <w:t>Tekst</w:t>
      </w:r>
      <w:bookmarkEnd w:id="443"/>
    </w:p>
    <w:p>
      <w:pPr/>
      <w:r>
        <w:rPr/>
        <w:t xml:space="preserve">Inschrijver geeft aan hoe hij de bewustwording over duurzame zorg onder zorgprofessionals en patiënten/cliënten gaat vergroten. Het doel is om de kennis te verbeteren over de impact van de zorg op klimaat en milieu en over de invloed van klimaat en milieu op de gezondheid.
Inschrijver licht toe hoe hij gedurende de contractperiode hieraan bijdraagt: welke maatregelen worden genomen en welke resultaten worden verwacht?</w:t>
      </w:r>
    </w:p>
    <w:p>
      <w:pPr>
        <w:pStyle w:val="Heading2"/>
      </w:pPr>
      <w:bookmarkStart w:id="444" w:name="_Toc444"/>
      <w:r>
        <w:t>Mogelijke bewijsmiddelen</w:t>
      </w:r>
      <w:bookmarkEnd w:id="444"/>
    </w:p>
    <w:p>
      <w:pPr/>
      <w:r>
        <w:rPr/>
        <w:t xml:space="preserve">-</w:t>
      </w:r>
    </w:p>
    <w:p>
      <w:pPr>
        <w:pStyle w:val="Heading2"/>
      </w:pPr>
      <w:bookmarkStart w:id="445" w:name="_Toc445"/>
      <w:r>
        <w:t>Wijze van beoordelen</w:t>
      </w:r>
      <w:bookmarkEnd w:id="445"/>
    </w:p>
    <w:p>
      <w:pPr/>
      <w:r>
        <w:rPr/>
        <w:t xml:space="preserve">Beoordeling op de mate waarin de inschrijver:
-	Duidelijk en concreet inzicht geeft in zijn maatregelen
-	Met een onderbouwing aannemelijk maakt dat het haalbaar is dat de maatregelen uitgevoerd worden; en
-	Met een onderbouwing aannemelijk maakt dat de maatregelen bijdragen aan het doel.</w:t>
      </w:r>
    </w:p>
    <w:p>
      <w:pPr>
        <w:pStyle w:val="Heading2"/>
      </w:pPr>
      <w:bookmarkStart w:id="446" w:name="_Toc446"/>
      <w:r>
        <w:t>Bijbehorende contractbepaling</w:t>
      </w:r>
      <w:bookmarkEnd w:id="446"/>
    </w:p>
    <w:p>
      <w:pPr/>
      <w:r>
        <w:rPr/>
        <w:t xml:space="preserve">-</w:t>
      </w:r>
    </w:p>
    <w:p>
      <w:pPr>
        <w:pStyle w:val="Heading2"/>
      </w:pPr>
      <w:bookmarkStart w:id="447" w:name="_Toc447"/>
      <w:r>
        <w:t>Toelichting voor inkopende organisatie</w:t>
      </w:r>
      <w:bookmarkEnd w:id="447"/>
    </w:p>
    <w:p>
      <w:pPr/>
      <w:r>
        <w:rPr/>
        <w:t xml:space="preserve">Het vergroten van kennis en bewustwording over de klimaatimpact van de zorg is onderdeel van de Green Deal Duurzame Zorg.</w:t>
      </w:r>
    </w:p>
    <w:p>
      <w:pPr>
        <w:pStyle w:val="Heading2"/>
      </w:pPr>
      <w:bookmarkStart w:id="448" w:name="_Toc448"/>
      <w:r>
        <w:t>External links</w:t>
      </w:r>
      <w:bookmarkEnd w:id="448"/>
    </w:p>
    <w:p>
      <w:pPr>
        <w:pStyle w:val="Heading2"/>
      </w:pPr>
      <w:bookmarkStart w:id="449" w:name="_Toc449"/>
      <w:r>
        <w:t>Bron</w:t>
      </w:r>
      <w:bookmarkEnd w:id="449"/>
    </w:p>
    <w:p>
      <w:pPr>
        <w:numPr>
          <w:ilvl w:val="0"/>
          <w:numId w:val="3"/>
        </w:numPr>
      </w:pPr>
      <w:r>
        <w:rPr/>
        <w:t xml:space="preserve">Intrakoop</w:t>
      </w:r>
    </w:p>
    <w:p/>
    <w:p>
      <w:pPr>
        <w:pStyle w:val="Heading1"/>
      </w:pPr>
      <w:bookmarkStart w:id="450" w:name="_Toc450"/>
      <w:r>
        <w:t>8.4 Inzameling en verwerking van incontinentiemateriaal</w:t>
      </w:r>
      <w:bookmarkEnd w:id="450"/>
    </w:p>
    <w:p>
      <w:pPr/>
      <w:r>
        <w:rPr>
          <w:b w:val="1"/>
          <w:bCs w:val="1"/>
        </w:rPr>
        <w:t xml:space="preserve">Productgroep: </w:t>
      </w:r>
      <w:r>
        <w:rPr/>
        <w:t xml:space="preserve">Afvalinzameling</w:t>
      </w:r>
    </w:p>
    <w:p>
      <w:pPr/>
      <w:r>
        <w:rPr>
          <w:b w:val="1"/>
          <w:bCs w:val="1"/>
        </w:rPr>
        <w:t xml:space="preserve">Voorwaarden: </w:t>
      </w:r>
      <w:r>
        <w:rPr/>
        <w:t xml:space="preserve">Eisen</w:t>
      </w:r>
    </w:p>
    <w:p>
      <w:pPr>
        <w:pStyle w:val="Heading2"/>
      </w:pPr>
      <w:bookmarkStart w:id="451" w:name="_Toc451"/>
      <w:r>
        <w:t>Thema's</w:t>
      </w:r>
      <w:bookmarkEnd w:id="451"/>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65.04.95.08 - Absorberend incontinentiemateriaal</w:t>
      </w:r>
    </w:p>
    <w:p>
      <w:pPr>
        <w:pStyle w:val="Heading2"/>
      </w:pPr>
      <w:bookmarkStart w:id="452" w:name="_Toc452"/>
      <w:r>
        <w:t>Tekst</w:t>
      </w:r>
      <w:bookmarkEnd w:id="452"/>
    </w:p>
    <w:p>
      <w:pPr/>
      <w:r>
        <w:rPr/>
        <w:t xml:space="preserve">Inschrijver faciliteert een gescheiden inzameling en verwerking van incontinentiemateriaal. Inschrijver verzorgt: inzamelmiddelen, afvalinstructies en een afvalregistratie.</w:t>
      </w:r>
    </w:p>
    <w:p>
      <w:pPr>
        <w:pStyle w:val="Heading2"/>
      </w:pPr>
      <w:bookmarkStart w:id="453" w:name="_Toc453"/>
      <w:r>
        <w:t>Mogelijke bewijsmiddelen</w:t>
      </w:r>
      <w:bookmarkEnd w:id="453"/>
    </w:p>
    <w:p>
      <w:pPr/>
      <w:r>
        <w:rPr/>
        <w:t xml:space="preserve">-</w:t>
      </w:r>
    </w:p>
    <w:p>
      <w:pPr>
        <w:pStyle w:val="Heading2"/>
      </w:pPr>
      <w:bookmarkStart w:id="454" w:name="_Toc454"/>
      <w:r>
        <w:t>Wijze van beoordelen</w:t>
      </w:r>
      <w:bookmarkEnd w:id="454"/>
    </w:p>
    <w:p>
      <w:pPr/>
      <w:r>
        <w:rPr/>
        <w:t xml:space="preserve">-</w:t>
      </w:r>
    </w:p>
    <w:p>
      <w:pPr>
        <w:pStyle w:val="Heading2"/>
      </w:pPr>
      <w:bookmarkStart w:id="455" w:name="_Toc455"/>
      <w:r>
        <w:t>Bijbehorende contractbepaling</w:t>
      </w:r>
      <w:bookmarkEnd w:id="455"/>
    </w:p>
    <w:p>
      <w:pPr/>
      <w:r>
        <w:rPr/>
        <w:t xml:space="preserve">-</w:t>
      </w:r>
    </w:p>
    <w:p>
      <w:pPr>
        <w:pStyle w:val="Heading2"/>
      </w:pPr>
      <w:bookmarkStart w:id="456" w:name="_Toc456"/>
      <w:r>
        <w:t>Toelichting voor inkopende organisatie</w:t>
      </w:r>
      <w:bookmarkEnd w:id="456"/>
    </w:p>
    <w:p>
      <w:pPr/>
      <w:r>
        <w:rPr/>
        <w:t xml:space="preserve">Aanvullende informatie is terug te vinden op de Groene Z: zie link</w:t>
      </w:r>
    </w:p>
    <w:p>
      <w:pPr>
        <w:pStyle w:val="Heading2"/>
      </w:pPr>
      <w:bookmarkStart w:id="457" w:name="_Toc457"/>
      <w:r>
        <w:t>External links</w:t>
      </w:r>
      <w:bookmarkEnd w:id="457"/>
    </w:p>
    <w:p>
      <w:hyperlink r:id="rId18" w:history="1">
        <w:r>
          <w:t xml:space="preserve">https://www.degroenez.org/productgroepen/incontinentiebroek/wegwerp#section-sustainable-use</w:t>
        </w:r>
      </w:hyperlink>
    </w:p>
    <w:p>
      <w:pPr>
        <w:pStyle w:val="Heading2"/>
      </w:pPr>
      <w:bookmarkStart w:id="458" w:name="_Toc458"/>
      <w:r>
        <w:t>Bron</w:t>
      </w:r>
      <w:bookmarkEnd w:id="458"/>
    </w:p>
    <w:p>
      <w:pPr>
        <w:numPr>
          <w:ilvl w:val="0"/>
          <w:numId w:val="3"/>
        </w:numPr>
      </w:pPr>
      <w:r>
        <w:rPr/>
        <w:t xml:space="preserve">Milieu Platform Zorg</w:t>
      </w:r>
    </w:p>
    <w:p/>
    <w:p>
      <w:pPr>
        <w:pStyle w:val="Heading1"/>
      </w:pPr>
      <w:bookmarkStart w:id="459" w:name="_Toc459"/>
      <w:r>
        <w:t>8.5 Verwerking AEEA (Afgedankte Elektrische en Elektronische Apparatuur)</w:t>
      </w:r>
      <w:bookmarkEnd w:id="459"/>
    </w:p>
    <w:p>
      <w:pPr/>
      <w:r>
        <w:rPr>
          <w:b w:val="1"/>
          <w:bCs w:val="1"/>
        </w:rPr>
        <w:t xml:space="preserve">Productgroep: </w:t>
      </w:r>
      <w:r>
        <w:rPr/>
        <w:t xml:space="preserve">Afvalinzameling</w:t>
      </w:r>
    </w:p>
    <w:p>
      <w:pPr/>
      <w:r>
        <w:rPr>
          <w:b w:val="1"/>
          <w:bCs w:val="1"/>
        </w:rPr>
        <w:t xml:space="preserve">Voorwaarden: </w:t>
      </w:r>
      <w:r>
        <w:rPr/>
        <w:t xml:space="preserve">Eisen</w:t>
      </w:r>
    </w:p>
    <w:p>
      <w:pPr>
        <w:pStyle w:val="Heading2"/>
      </w:pPr>
      <w:bookmarkStart w:id="460" w:name="_Toc460"/>
      <w:r>
        <w:t>Thema's</w:t>
      </w:r>
      <w:bookmarkEnd w:id="460"/>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61" w:name="_Toc461"/>
      <w:r>
        <w:t>Tekst</w:t>
      </w:r>
      <w:bookmarkEnd w:id="461"/>
    </w:p>
    <w:p>
      <w:pPr/>
      <w:r>
        <w:rPr/>
        <w:t xml:space="preserve">De afvalverwerking van AEEA (Afgedankte Elektrische en Elektronische Apparatuur) die vrijkomt bij productie, reparatie en refurbishing, voldoet aan de geldende normen. Deze normen zijn ook van toepassing op apparatuur die wordt teruggestuurd en op de faciliteiten waar AEEA wordt verwerkt:
- NEN-EN 50625) of het Amerikaanse equivalent)
- NEN-EN 50614 (of het Amerikaanse equivalent)
- De Responsible Recycling (R2)-standaard
- De e-Stewards-standaard</w:t>
      </w:r>
    </w:p>
    <w:p>
      <w:pPr>
        <w:pStyle w:val="Heading2"/>
      </w:pPr>
      <w:bookmarkStart w:id="462" w:name="_Toc462"/>
      <w:r>
        <w:t>Mogelijke bewijsmiddelen</w:t>
      </w:r>
      <w:bookmarkEnd w:id="462"/>
    </w:p>
    <w:p>
      <w:pPr/>
      <w:r>
        <w:rPr/>
        <w:t xml:space="preserve">NEN-EN 50625 Inzameling, logistiek &amp;amp; verwerkingseisen voor WEEE (AEEA)  (of het Amerikaanse equivalent)
NEN-EN 50614 Requirements for the preparing for re-use of waste electrical and electronic equipment
(of het Amerikaanse equivalent)
De Responsible Recycling (R2)-standaard voor elektronica-recyclers.
De e-Stewards-standaard voor verantwoord recyclen en hergebruik van elektronische apparatuur.</w:t>
      </w:r>
    </w:p>
    <w:p>
      <w:pPr>
        <w:pStyle w:val="Heading2"/>
      </w:pPr>
      <w:bookmarkStart w:id="463" w:name="_Toc463"/>
      <w:r>
        <w:t>Wijze van beoordelen</w:t>
      </w:r>
      <w:bookmarkEnd w:id="463"/>
    </w:p>
    <w:p>
      <w:pPr/>
      <w:r>
        <w:rPr/>
        <w:t xml:space="preserve">-</w:t>
      </w:r>
    </w:p>
    <w:p>
      <w:pPr>
        <w:pStyle w:val="Heading2"/>
      </w:pPr>
      <w:bookmarkStart w:id="464" w:name="_Toc464"/>
      <w:r>
        <w:t>Bijbehorende contractbepaling</w:t>
      </w:r>
      <w:bookmarkEnd w:id="464"/>
    </w:p>
    <w:p>
      <w:pPr/>
      <w:r>
        <w:rPr/>
        <w:t xml:space="preserve">-</w:t>
      </w:r>
    </w:p>
    <w:p>
      <w:pPr>
        <w:pStyle w:val="Heading2"/>
      </w:pPr>
      <w:bookmarkStart w:id="465" w:name="_Toc465"/>
      <w:r>
        <w:t>Toelichting voor inkopende organisatie</w:t>
      </w:r>
      <w:bookmarkEnd w:id="465"/>
    </w:p>
    <w:p>
      <w:pPr/>
      <w:r>
        <w:rPr/>
        <w:t xml:space="preserve">Onder Afgedankte Elektrische en Elektronische Apparatuur (AEEA) vallen bijna alle elektrische apparaten die op stroom of batterij werken. Meer informatie: zie link Afvalcirculair</w:t>
      </w:r>
    </w:p>
    <w:p>
      <w:pPr>
        <w:pStyle w:val="Heading2"/>
      </w:pPr>
      <w:bookmarkStart w:id="466" w:name="_Toc466"/>
      <w:r>
        <w:t>External links</w:t>
      </w:r>
      <w:bookmarkEnd w:id="466"/>
    </w:p>
    <w:p>
      <w:hyperlink r:id="rId44" w:history="1">
        <w:r>
          <w:t xml:space="preserve">https://www.nen.nl/en/nen-en-50625-1-2014-en-193413</w:t>
        </w:r>
      </w:hyperlink>
    </w:p>
    <w:p>
      <w:hyperlink r:id="rId45" w:history="1">
        <w:r>
          <w:t xml:space="preserve">https://www.nen.nl/nen-en-50614-2020-en-268044</w:t>
        </w:r>
      </w:hyperlink>
    </w:p>
    <w:p>
      <w:hyperlink r:id="rId46" w:history="1">
        <w:r>
          <w:t xml:space="preserve">https://afvalcirculair.nl/uitgebreide-producentenverantwoordelijkheid-upv/overzicht-upv/upv-elektr-on-ische-apparaten/virtuele-map/handreiking-0/</w:t>
        </w:r>
      </w:hyperlink>
    </w:p>
    <w:p>
      <w:pPr>
        <w:pStyle w:val="Heading2"/>
      </w:pPr>
      <w:bookmarkStart w:id="467" w:name="_Toc467"/>
      <w:r>
        <w:t>Bron</w:t>
      </w:r>
      <w:bookmarkEnd w:id="467"/>
    </w:p>
    <w:p>
      <w:pPr>
        <w:numPr>
          <w:ilvl w:val="0"/>
          <w:numId w:val="3"/>
        </w:numPr>
      </w:pPr>
      <w:r>
        <w:rPr/>
        <w:t xml:space="preserve">MEPA+</w:t>
      </w:r>
    </w:p>
    <w:p/>
    <w:p>
      <w:pPr>
        <w:pStyle w:val="Heading1"/>
      </w:pPr>
      <w:bookmarkStart w:id="468" w:name="_Toc468"/>
      <w:r>
        <w:t>8.6 Afval &amp; verpakking</w:t>
      </w:r>
      <w:bookmarkEnd w:id="468"/>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469" w:name="_Toc469"/>
      <w:r>
        <w:t>Thema's</w:t>
      </w:r>
      <w:bookmarkEnd w:id="469"/>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70" w:name="_Toc470"/>
      <w:r>
        <w:t>Tekst</w:t>
      </w:r>
      <w:bookmarkEnd w:id="470"/>
    </w:p>
    <w:p>
      <w:pPr/>
      <w:r>
        <w:rPr/>
        <w:t xml:space="preserve">Het product voldoet minimaal aan twee van de volgende criteria:
- Product genereert geen gevaarlijk afval
- Product wordt niet als gevaarlijk afval geclassificeerd (bij normaal gebruik en bij het weggooien)
- Product bestaat voor minimaal 10% uit chemisch gerecycled materiaal of uit closed-loop gerecycled materiaal
- Product is recyclebaar
-Primaire verpakking van product bevat meer dan 10% post-consumer gerecycled materiaal.
- Secundaire verpakking van het product bevat meer dan 30% post-consumer gerecycled materiaal. Dit geldt niet voor vezelmateriaal, zoals hout
- Verpakking is volledig recyclebaar</w:t>
      </w:r>
    </w:p>
    <w:p>
      <w:pPr>
        <w:pStyle w:val="Heading2"/>
      </w:pPr>
      <w:bookmarkStart w:id="471" w:name="_Toc471"/>
      <w:r>
        <w:t>Mogelijke bewijsmiddelen</w:t>
      </w:r>
      <w:bookmarkEnd w:id="471"/>
    </w:p>
    <w:p>
      <w:pPr/>
      <w:r>
        <w:rPr/>
        <w:t xml:space="preserve">-</w:t>
      </w:r>
    </w:p>
    <w:p>
      <w:pPr>
        <w:pStyle w:val="Heading2"/>
      </w:pPr>
      <w:bookmarkStart w:id="472" w:name="_Toc472"/>
      <w:r>
        <w:t>Wijze van beoordelen</w:t>
      </w:r>
      <w:bookmarkEnd w:id="472"/>
    </w:p>
    <w:p>
      <w:pPr/>
      <w:r>
        <w:rPr/>
        <w:t xml:space="preserve">-</w:t>
      </w:r>
    </w:p>
    <w:p>
      <w:pPr>
        <w:pStyle w:val="Heading2"/>
      </w:pPr>
      <w:bookmarkStart w:id="473" w:name="_Toc473"/>
      <w:r>
        <w:t>Bijbehorende contractbepaling</w:t>
      </w:r>
      <w:bookmarkEnd w:id="473"/>
    </w:p>
    <w:p>
      <w:pPr/>
      <w:r>
        <w:rPr/>
        <w:t xml:space="preserve">-</w:t>
      </w:r>
    </w:p>
    <w:p>
      <w:pPr>
        <w:pStyle w:val="Heading2"/>
      </w:pPr>
      <w:bookmarkStart w:id="474" w:name="_Toc474"/>
      <w:r>
        <w:t>Toelichting voor inkopende organisatie</w:t>
      </w:r>
      <w:bookmarkEnd w:id="474"/>
    </w:p>
    <w:p>
      <w:pPr/>
      <w:r>
        <w:rPr/>
        <w:t xml:space="preserve">Verkoop- of primaire verpakking: verpakking staat direct in contact met product. Samen met de inhoud vormt dit één verkoopeenheid.
Verzamel- of secundaire verpakkingen: verpakkingen waarin meerdere verkoopeenheden zijn samengevoegd.
Post-consumer materiaal: materialen die door eindgebruikers zijn weggegooid en opnieuw worden gebruikt.
Closed-loop recycling: materialen worden na gebruik opnieuw verwerkt tot hetzelfde type product. Hierdoor blijven de materialen binnen dezelfde keten en wordt waardeverlies zoveel mogelijk beperkt.</w:t>
      </w:r>
    </w:p>
    <w:p>
      <w:pPr>
        <w:pStyle w:val="Heading2"/>
      </w:pPr>
      <w:bookmarkStart w:id="475" w:name="_Toc475"/>
      <w:r>
        <w:t>External links</w:t>
      </w:r>
      <w:bookmarkEnd w:id="475"/>
    </w:p>
    <w:p>
      <w:pPr>
        <w:pStyle w:val="Heading2"/>
      </w:pPr>
      <w:bookmarkStart w:id="476" w:name="_Toc476"/>
      <w:r>
        <w:t>Bron</w:t>
      </w:r>
      <w:bookmarkEnd w:id="476"/>
    </w:p>
    <w:p>
      <w:pPr>
        <w:numPr>
          <w:ilvl w:val="0"/>
          <w:numId w:val="3"/>
        </w:numPr>
      </w:pPr>
      <w:r>
        <w:rPr/>
        <w:t xml:space="preserve">MEPA+</w:t>
      </w:r>
    </w:p>
    <w:p/>
    <w:p>
      <w:pPr>
        <w:pStyle w:val="Heading1"/>
      </w:pPr>
      <w:bookmarkStart w:id="477" w:name="_Toc477"/>
      <w:r>
        <w:t>9.1 Garantievoorwaarden</w:t>
      </w:r>
      <w:bookmarkEnd w:id="477"/>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478" w:name="_Toc478"/>
      <w:r>
        <w:t>Thema's</w:t>
      </w:r>
      <w:bookmarkEnd w:id="478"/>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79" w:name="_Toc479"/>
      <w:r>
        <w:t>Tekst</w:t>
      </w:r>
      <w:bookmarkEnd w:id="479"/>
    </w:p>
    <w:p>
      <w:pPr/>
      <w:r>
        <w:rPr/>
        <w:t xml:space="preserve">Producten hebben een garantietermijn van minimaal [termijn] jaar. Deze garantie is inbegrepen in de productprijs. De geleverde producten voldoen aan de specificaties van het contract (d.w.z geen gebreken). Eventuele reparaties worden gratis (inclusief vervoers- en verzendkosten) en binnen 5 dagen na melding defect uitgevoerd.</w:t>
      </w:r>
    </w:p>
    <w:p>
      <w:pPr>
        <w:pStyle w:val="Heading2"/>
      </w:pPr>
      <w:bookmarkStart w:id="480" w:name="_Toc480"/>
      <w:r>
        <w:t>Mogelijke bewijsmiddelen</w:t>
      </w:r>
      <w:bookmarkEnd w:id="480"/>
    </w:p>
    <w:p>
      <w:pPr/>
      <w:r>
        <w:rPr/>
        <w:t xml:space="preserve">Nader te bepalen, afhankelijk van keuzes (zie toelichting voor inkopende organisatie)</w:t>
      </w:r>
    </w:p>
    <w:p>
      <w:pPr>
        <w:pStyle w:val="Heading2"/>
      </w:pPr>
      <w:bookmarkStart w:id="481" w:name="_Toc481"/>
      <w:r>
        <w:t>Wijze van beoordelen</w:t>
      </w:r>
      <w:bookmarkEnd w:id="481"/>
    </w:p>
    <w:p>
      <w:pPr/>
      <w:r>
        <w:rPr/>
        <w:t xml:space="preserve">-</w:t>
      </w:r>
    </w:p>
    <w:p>
      <w:pPr>
        <w:pStyle w:val="Heading2"/>
      </w:pPr>
      <w:bookmarkStart w:id="482" w:name="_Toc482"/>
      <w:r>
        <w:t>Bijbehorende contractbepaling</w:t>
      </w:r>
      <w:bookmarkEnd w:id="482"/>
    </w:p>
    <w:p>
      <w:pPr/>
      <w:r>
        <w:rPr/>
        <w:t xml:space="preserve">-</w:t>
      </w:r>
    </w:p>
    <w:p>
      <w:pPr>
        <w:pStyle w:val="Heading2"/>
      </w:pPr>
      <w:bookmarkStart w:id="483" w:name="_Toc483"/>
      <w:r>
        <w:t>Toelichting voor inkopende organisatie</w:t>
      </w:r>
      <w:bookmarkEnd w:id="483"/>
    </w:p>
    <w:p>
      <w:pPr/>
      <w:r>
        <w:rPr/>
        <w:t xml:space="preserve">Inkopende organisatie overlegt met leverancier een garantietermijn.</w:t>
      </w:r>
    </w:p>
    <w:p>
      <w:pPr>
        <w:pStyle w:val="Heading2"/>
      </w:pPr>
      <w:bookmarkStart w:id="484" w:name="_Toc484"/>
      <w:r>
        <w:t>External links</w:t>
      </w:r>
      <w:bookmarkEnd w:id="484"/>
    </w:p>
    <w:p>
      <w:pPr>
        <w:pStyle w:val="Heading2"/>
      </w:pPr>
      <w:bookmarkStart w:id="485" w:name="_Toc485"/>
      <w:r>
        <w:t>Bron</w:t>
      </w:r>
      <w:bookmarkEnd w:id="485"/>
    </w:p>
    <w:p>
      <w:pPr>
        <w:numPr>
          <w:ilvl w:val="0"/>
          <w:numId w:val="3"/>
        </w:numPr>
      </w:pPr>
      <w:r>
        <w:rPr/>
        <w:t xml:space="preserve">MVI criteria tool</w:t>
      </w:r>
    </w:p>
    <w:p/>
    <w:p>
      <w:pPr>
        <w:pStyle w:val="Heading1"/>
      </w:pPr>
      <w:bookmarkStart w:id="486" w:name="_Toc486"/>
      <w:r>
        <w:t>9.2 Inname, recycling, hoogwaardige toepassing producten</w:t>
      </w:r>
      <w:bookmarkEnd w:id="486"/>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487" w:name="_Toc487"/>
      <w:r>
        <w:t>Thema's</w:t>
      </w:r>
      <w:bookmarkEnd w:id="487"/>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88" w:name="_Toc488"/>
      <w:r>
        <w:t>Tekst</w:t>
      </w:r>
      <w:bookmarkEnd w:id="488"/>
    </w:p>
    <w:p>
      <w:pPr/>
      <w:r>
        <w:rPr/>
        <w:t xml:space="preserve">Inschrijver geeft aan wat er met de producten gebeurt wanneer deze aan het einde van hun levensduur retour worden genomen:
- Welke producten worden teruggenomen?
- Hoeveel materiaal (%) wordt hergebruikt en/of gerecycled?
- Welke toepassing krijgen de gerecyclede en hergebruikte materialen?</w:t>
      </w:r>
    </w:p>
    <w:p>
      <w:pPr>
        <w:pStyle w:val="Heading2"/>
      </w:pPr>
      <w:bookmarkStart w:id="489" w:name="_Toc489"/>
      <w:r>
        <w:t>Mogelijke bewijsmiddelen</w:t>
      </w:r>
      <w:bookmarkEnd w:id="489"/>
    </w:p>
    <w:p>
      <w:pPr/>
      <w:r>
        <w:rPr/>
        <w:t xml:space="preserve">-</w:t>
      </w:r>
    </w:p>
    <w:p>
      <w:pPr>
        <w:pStyle w:val="Heading2"/>
      </w:pPr>
      <w:bookmarkStart w:id="490" w:name="_Toc490"/>
      <w:r>
        <w:t>Wijze van beoordelen</w:t>
      </w:r>
      <w:bookmarkEnd w:id="490"/>
    </w:p>
    <w:p>
      <w:pPr/>
      <w:r>
        <w:rPr/>
        <w:t xml:space="preserve">Bij een hoogwaardige toepassing van ingenomen producten, wordt dit deel van de inschrijving hoger gewaardeerd.
R-ladder beoordeelt of de toepassing van ingenomen product hoogwaardig of laagwaardig is. Stappen van de R-ladder zijn: 0 Refuse, 1 Rethink, 2 Reduce, 3 Reuse, 4 Repair, 5 Refurbish en Remanufacture, 6 Repurpose, 7 Recycle, 8 Recover.
Stap 0 is de hoogste trede van de ladder, stap 8 de laagste. Hoe hoger de trede, hoe hoogwaardiger de toepassing.</w:t>
      </w:r>
    </w:p>
    <w:p>
      <w:pPr>
        <w:pStyle w:val="Heading2"/>
      </w:pPr>
      <w:bookmarkStart w:id="491" w:name="_Toc491"/>
      <w:r>
        <w:t>Bijbehorende contractbepaling</w:t>
      </w:r>
      <w:bookmarkEnd w:id="491"/>
    </w:p>
    <w:p>
      <w:pPr/>
      <w:r>
        <w:rPr/>
        <w:t xml:space="preserve">-</w:t>
      </w:r>
    </w:p>
    <w:p>
      <w:pPr>
        <w:pStyle w:val="Heading2"/>
      </w:pPr>
      <w:bookmarkStart w:id="492" w:name="_Toc492"/>
      <w:r>
        <w:t>Toelichting voor inkopende organisatie</w:t>
      </w:r>
      <w:bookmarkEnd w:id="492"/>
    </w:p>
    <w:p>
      <w:pPr/>
      <w:r>
        <w:rPr/>
        <w:t xml:space="preserve">Inkoper, let op: neem dit criterium alleen op wanneer het innemen van producten aan het einde van de levensduur onderdeel uitmaakt van de aanvraag.&amp;nbsp;</w:t>
      </w:r>
    </w:p>
    <w:p>
      <w:pPr>
        <w:pStyle w:val="Heading2"/>
      </w:pPr>
      <w:bookmarkStart w:id="493" w:name="_Toc493"/>
      <w:r>
        <w:t>External links</w:t>
      </w:r>
      <w:bookmarkEnd w:id="493"/>
    </w:p>
    <w:p>
      <w:pPr>
        <w:pStyle w:val="Heading2"/>
      </w:pPr>
      <w:bookmarkStart w:id="494" w:name="_Toc494"/>
      <w:r>
        <w:t>Bron</w:t>
      </w:r>
      <w:bookmarkEnd w:id="494"/>
    </w:p>
    <w:p>
      <w:pPr>
        <w:numPr>
          <w:ilvl w:val="0"/>
          <w:numId w:val="3"/>
        </w:numPr>
      </w:pPr>
      <w:r>
        <w:rPr/>
        <w:t xml:space="preserve">MVI criteria tool</w:t>
      </w:r>
    </w:p>
    <w:p/>
    <w:p>
      <w:pPr>
        <w:pStyle w:val="Heading1"/>
      </w:pPr>
      <w:bookmarkStart w:id="495" w:name="_Toc495"/>
      <w:r>
        <w:t>9.3 Hergebruikte producten worden hoger gewaardeerd</w:t>
      </w:r>
      <w:bookmarkEnd w:id="495"/>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496" w:name="_Toc496"/>
      <w:r>
        <w:t>Thema's</w:t>
      </w:r>
      <w:bookmarkEnd w:id="496"/>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97" w:name="_Toc497"/>
      <w:r>
        <w:t>Tekst</w:t>
      </w:r>
      <w:bookmarkEnd w:id="497"/>
    </w:p>
    <w:p>
      <w:pPr/>
      <w:r>
        <w:rPr/>
        <w:t xml:space="preserve">De levering van hergebruikte producten of producten met hergebruikte onderdelen leidt tot een hogere waardering. Inschrijver geeft aan:
- Welke producten en onderdelen hergebruikt zijn
- Het aandeel hergebruikte materialen in het product (op gewichtsbasis)
- De oorsprong van de hergebruikte producten en onderdelen en welke functies deze eerder vervulden
- De garantietermijn van hergebruikte onderdelen en producten
- Op welke aannames Inschrijver de aanbieding baseert en of hij risico’s voorziet bij de hergebruikte producten en onderdelen.
Hergebruikte producten en producten met hergebruikte onderdelen moeten, net als niet-hergebruikte producten, voldoen aan de technische, functionele en MVI-eisen uit het Programma van Eisen (PvE).</w:t>
      </w:r>
    </w:p>
    <w:p>
      <w:pPr>
        <w:pStyle w:val="Heading2"/>
      </w:pPr>
      <w:bookmarkStart w:id="498" w:name="_Toc498"/>
      <w:r>
        <w:t>Mogelijke bewijsmiddelen</w:t>
      </w:r>
      <w:bookmarkEnd w:id="498"/>
    </w:p>
    <w:p>
      <w:pPr/>
      <w:r>
        <w:rPr/>
        <w:t xml:space="preserve">-</w:t>
      </w:r>
    </w:p>
    <w:p>
      <w:pPr>
        <w:pStyle w:val="Heading2"/>
      </w:pPr>
      <w:bookmarkStart w:id="499" w:name="_Toc499"/>
      <w:r>
        <w:t>Wijze van beoordelen</w:t>
      </w:r>
      <w:bookmarkEnd w:id="499"/>
    </w:p>
    <w:p>
      <w:pPr/>
      <w:r>
        <w:rPr/>
        <w:t xml:space="preserve">Scoremethodiek wordt door inkopende organisatie bepaald</w:t>
      </w:r>
    </w:p>
    <w:p>
      <w:pPr>
        <w:pStyle w:val="Heading2"/>
      </w:pPr>
      <w:bookmarkStart w:id="500" w:name="_Toc500"/>
      <w:r>
        <w:t>Bijbehorende contractbepaling</w:t>
      </w:r>
      <w:bookmarkEnd w:id="500"/>
    </w:p>
    <w:p>
      <w:pPr/>
      <w:r>
        <w:rPr/>
        <w:t xml:space="preserve">-</w:t>
      </w:r>
    </w:p>
    <w:p>
      <w:pPr>
        <w:pStyle w:val="Heading2"/>
      </w:pPr>
      <w:bookmarkStart w:id="501" w:name="_Toc501"/>
      <w:r>
        <w:t>Toelichting voor inkopende organisatie</w:t>
      </w:r>
      <w:bookmarkEnd w:id="501"/>
    </w:p>
    <w:p>
      <w:pPr/>
      <w:r>
        <w:rPr/>
        <w:t xml:space="preserve">Hergebruiken van producten en onderdelen vermindert de behoefte aan grondstoffenwinning en productieprocessen. Hergebruikte producten en onderdelen hebben altijd de voorkeur boven gerecyclede grondstoffen.
Gerecycled materiaal: materiaal dat is verkregen uit afval. Dit kan restmateriaal uit het productieproces zijn, of afval van producten die eerder zijn gebruikt door bijvoorbeeld de consument. De oorspronkelijke vorm van het product blijft daarbij niet behouden.
Hergebruikte producten of onderdelen: producten of onderdelen die eerder zijn gebruikt, worden op dezelfde manier opnieuw gebruikt in een nieuw of hetzelfde product. Ook het verbeteren of aanpassen van een onderdeel of product, zolang het dezelfde functie behoudt, valt onder hergebruik.</w:t>
      </w:r>
    </w:p>
    <w:p>
      <w:pPr>
        <w:pStyle w:val="Heading2"/>
      </w:pPr>
      <w:bookmarkStart w:id="502" w:name="_Toc502"/>
      <w:r>
        <w:t>External links</w:t>
      </w:r>
      <w:bookmarkEnd w:id="502"/>
    </w:p>
    <w:p>
      <w:pPr>
        <w:pStyle w:val="Heading2"/>
      </w:pPr>
      <w:bookmarkStart w:id="503" w:name="_Toc503"/>
      <w:r>
        <w:t>Bron</w:t>
      </w:r>
      <w:bookmarkEnd w:id="503"/>
    </w:p>
    <w:p>
      <w:pPr>
        <w:numPr>
          <w:ilvl w:val="0"/>
          <w:numId w:val="3"/>
        </w:numPr>
      </w:pPr>
      <w:r>
        <w:rPr/>
        <w:t xml:space="preserve">MVI criteria tool</w:t>
      </w:r>
    </w:p>
    <w:p/>
    <w:p>
      <w:pPr>
        <w:pStyle w:val="Heading1"/>
      </w:pPr>
      <w:bookmarkStart w:id="504" w:name="_Toc504"/>
      <w:r>
        <w:t>9.4 Nalevering van reserveonderdelen</w:t>
      </w:r>
      <w:bookmarkEnd w:id="504"/>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505" w:name="_Toc505"/>
      <w:r>
        <w:t>Thema's</w:t>
      </w:r>
      <w:bookmarkEnd w:id="505"/>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06" w:name="_Toc506"/>
      <w:r>
        <w:t>Tekst</w:t>
      </w:r>
      <w:bookmarkEnd w:id="506"/>
    </w:p>
    <w:p>
      <w:pPr/>
      <w:r>
        <w:rPr/>
        <w:t xml:space="preserve">Reserveonderdelen van product zijn leverbaar binnen de garantieperiode van 10 jaar na aankoop. Nalevering van de vervangende onderdelen gebeurt kosteloos of tegen een marktconforme prijs.</w:t>
      </w:r>
    </w:p>
    <w:p>
      <w:pPr>
        <w:pStyle w:val="Heading2"/>
      </w:pPr>
      <w:bookmarkStart w:id="507" w:name="_Toc507"/>
      <w:r>
        <w:t>Mogelijke bewijsmiddelen</w:t>
      </w:r>
      <w:bookmarkEnd w:id="507"/>
    </w:p>
    <w:p>
      <w:pPr/>
      <w:r>
        <w:rPr/>
        <w:t xml:space="preserve">Nader te bepalen, afhankelijk van keuzes (zie contractbepaling)</w:t>
      </w:r>
    </w:p>
    <w:p>
      <w:pPr>
        <w:pStyle w:val="Heading2"/>
      </w:pPr>
      <w:bookmarkStart w:id="508" w:name="_Toc508"/>
      <w:r>
        <w:t>Wijze van beoordelen</w:t>
      </w:r>
      <w:bookmarkEnd w:id="508"/>
    </w:p>
    <w:p>
      <w:pPr/>
      <w:r>
        <w:rPr/>
        <w:t xml:space="preserve">-</w:t>
      </w:r>
    </w:p>
    <w:p>
      <w:pPr>
        <w:pStyle w:val="Heading2"/>
      </w:pPr>
      <w:bookmarkStart w:id="509" w:name="_Toc509"/>
      <w:r>
        <w:t>Bijbehorende contractbepaling</w:t>
      </w:r>
      <w:bookmarkEnd w:id="509"/>
    </w:p>
    <w:p>
      <w:pPr/>
      <w:r>
        <w:rPr/>
        <w:t xml:space="preserve">In het contract staat beschreven wat de garantie inhoudt. Denk daarbij bijvoorbeeld aan:
- Indien product tijdens de garantieperiode bij normaal gebruik gebreken vertoont, worden reserveonderdelen gratis geleverd
- De eventuele kostprijs van reserveonderdelen staat in verhouding met de totale kostprijs van het product
- Indien product tijdens de garantieperiode door onjuist gebruik beschadigd is geraakt, zijn reserveonderdelen verkrijgbaar tegen een evenredige prijs.</w:t>
      </w:r>
    </w:p>
    <w:p>
      <w:pPr>
        <w:pStyle w:val="Heading2"/>
      </w:pPr>
      <w:bookmarkStart w:id="510" w:name="_Toc510"/>
      <w:r>
        <w:t>Toelichting voor inkopende organisatie</w:t>
      </w:r>
      <w:bookmarkEnd w:id="510"/>
    </w:p>
    <w:p>
      <w:pPr/>
      <w:r>
        <w:rPr/>
        <w:t xml:space="preserve">In overleg met leverancier een ander termijn invullen indien dat passender is. Onder 'onderdelen' worden alle componenten van het product verstaan.</w:t>
      </w:r>
    </w:p>
    <w:p>
      <w:pPr>
        <w:pStyle w:val="Heading2"/>
      </w:pPr>
      <w:bookmarkStart w:id="511" w:name="_Toc511"/>
      <w:r>
        <w:t>External links</w:t>
      </w:r>
      <w:bookmarkEnd w:id="511"/>
    </w:p>
    <w:p>
      <w:pPr>
        <w:pStyle w:val="Heading2"/>
      </w:pPr>
      <w:bookmarkStart w:id="512" w:name="_Toc512"/>
      <w:r>
        <w:t>Bron</w:t>
      </w:r>
      <w:bookmarkEnd w:id="512"/>
    </w:p>
    <w:p>
      <w:pPr>
        <w:numPr>
          <w:ilvl w:val="0"/>
          <w:numId w:val="3"/>
        </w:numPr>
      </w:pPr>
      <w:r>
        <w:rPr/>
        <w:t xml:space="preserve">MVI criteria tool</w:t>
      </w:r>
    </w:p>
    <w:p/>
    <w:p>
      <w:pPr>
        <w:pStyle w:val="Heading1"/>
      </w:pPr>
      <w:bookmarkStart w:id="513" w:name="_Toc513"/>
      <w:r>
        <w:t>9.5 Bijdrage aan klimaatdoelen</w:t>
      </w:r>
      <w:bookmarkEnd w:id="513"/>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514" w:name="_Toc514"/>
      <w:r>
        <w:t>Thema's</w:t>
      </w:r>
      <w:bookmarkEnd w:id="514"/>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515" w:name="_Toc515"/>
      <w:r>
        <w:t>Tekst</w:t>
      </w:r>
      <w:bookmarkEnd w:id="515"/>
    </w:p>
    <w:p>
      <w:pPr/>
      <w:r>
        <w:rPr/>
        <w:t xml:space="preserve">Inschrijver geeft aan hoe hij tijdens de contractperiode bijdraagt aan de klimaatdoelen van Opdrachtgever die voortkomen uit de Green Deal Duurzame Zorg en het Klimaatakkoord. Inschrijver geeft aan welke maatregelen hij neemt om dit doel te behalen.</w:t>
      </w:r>
    </w:p>
    <w:p>
      <w:pPr>
        <w:pStyle w:val="Heading2"/>
      </w:pPr>
      <w:bookmarkStart w:id="516" w:name="_Toc516"/>
      <w:r>
        <w:t>Mogelijke bewijsmiddelen</w:t>
      </w:r>
      <w:bookmarkEnd w:id="516"/>
    </w:p>
    <w:p>
      <w:pPr/>
      <w:r>
        <w:rPr/>
        <w:t xml:space="preserve">-</w:t>
      </w:r>
    </w:p>
    <w:p>
      <w:pPr>
        <w:pStyle w:val="Heading2"/>
      </w:pPr>
      <w:bookmarkStart w:id="517" w:name="_Toc517"/>
      <w:r>
        <w:t>Wijze van beoordelen</w:t>
      </w:r>
      <w:bookmarkEnd w:id="517"/>
    </w:p>
    <w:p>
      <w:pPr/>
      <w:r>
        <w:rPr/>
        <w:t xml:space="preserve">Beoordeling op de mate waarin de inschrijver:
-	Duidelijk en concreet inzicht geeft in zijn maatregelen
-	Met een onderbouwing aannemelijk maakt dat het haalbaar is dat de maatregelen uitgevoerd worden; en
-	Met een onderbouwing aannemelijk maakt dat de maatregelen bijdragen aan de vermindering van de CO2.</w:t>
      </w:r>
    </w:p>
    <w:p>
      <w:pPr>
        <w:pStyle w:val="Heading2"/>
      </w:pPr>
      <w:bookmarkStart w:id="518" w:name="_Toc518"/>
      <w:r>
        <w:t>Bijbehorende contractbepaling</w:t>
      </w:r>
      <w:bookmarkEnd w:id="518"/>
    </w:p>
    <w:p>
      <w:pPr/>
      <w:r>
        <w:rPr/>
        <w:t xml:space="preserve">[Zorgorganisatie] draagt bij aan het realiseren van de klimaatdoelen en geeft invulling aan de verplichtingen uit het klimaatakkoord en de Green Deal Duurzame zorg                                                                                                                                                                                                                                                                                                                                                                      Voor de categorie [invullen gebruiksmiddel] is dit vertaald naar de volgende ambitie:
[voeg toe]
Inschrijver dient aan te geven hoe zij hier gedurende de contractperiode concreet aan gaat bijdragen, op welke wijze (welke maatregelen) en met welk (verwacht) resultaat?</w:t>
      </w:r>
    </w:p>
    <w:p>
      <w:pPr>
        <w:pStyle w:val="Heading2"/>
      </w:pPr>
      <w:bookmarkStart w:id="519" w:name="_Toc519"/>
      <w:r>
        <w:t>Toelichting voor inkopende organisatie</w:t>
      </w:r>
      <w:bookmarkEnd w:id="519"/>
    </w:p>
    <w:p>
      <w:pPr/>
      <w:r>
        <w:rPr/>
        <w:t xml:space="preserve">Zelf invullen op de blauw gearceerde stukken tekst.                                                 Inkoper, let op: alleen van toepassing bij een meerjarige contractrelatie.</w:t>
      </w:r>
    </w:p>
    <w:p>
      <w:pPr>
        <w:pStyle w:val="Heading2"/>
      </w:pPr>
      <w:bookmarkStart w:id="520" w:name="_Toc520"/>
      <w:r>
        <w:t>External links</w:t>
      </w:r>
      <w:bookmarkEnd w:id="520"/>
    </w:p>
    <w:p>
      <w:pPr>
        <w:pStyle w:val="Heading2"/>
      </w:pPr>
      <w:bookmarkStart w:id="521" w:name="_Toc521"/>
      <w:r>
        <w:t>Bron</w:t>
      </w:r>
      <w:bookmarkEnd w:id="521"/>
    </w:p>
    <w:p>
      <w:pPr>
        <w:numPr>
          <w:ilvl w:val="0"/>
          <w:numId w:val="3"/>
        </w:numPr>
      </w:pPr>
      <w:r>
        <w:rPr/>
        <w:t xml:space="preserve">UMC Utrecht</w:t>
      </w:r>
    </w:p>
    <w:p/>
    <w:p>
      <w:pPr>
        <w:pStyle w:val="Heading1"/>
      </w:pPr>
      <w:bookmarkStart w:id="522" w:name="_Toc522"/>
      <w:r>
        <w:t>9.6 Vermindering CO2 uitstoot tijdens contractperiode</w:t>
      </w:r>
      <w:bookmarkEnd w:id="522"/>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523" w:name="_Toc523"/>
      <w:r>
        <w:t>Thema's</w:t>
      </w:r>
      <w:bookmarkEnd w:id="523"/>
    </w:p>
    <w:p>
      <w:pPr/>
      <w:r>
        <w:pict>
          <v:shape type="#_x0000_t75" stroked="f" style="width:47.376623376623pt; height:48pt; margin-left:0pt; margin-top:0pt; mso-position-horizontal:left; mso-position-vertical:top; mso-position-horizontal-relative:char; mso-position-vertical-relative:line;">
            <w10:wrap type="inline"/>
            <v:imagedata r:id="rId9"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524" w:name="_Toc524"/>
      <w:r>
        <w:t>Tekst</w:t>
      </w:r>
      <w:bookmarkEnd w:id="524"/>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525" w:name="_Toc525"/>
      <w:r>
        <w:t>Mogelijke bewijsmiddelen</w:t>
      </w:r>
      <w:bookmarkEnd w:id="525"/>
    </w:p>
    <w:p>
      <w:pPr/>
      <w:r>
        <w:rPr/>
        <w:t xml:space="preserve">Conform SBTI of vergelijkbare rapportages.</w:t>
      </w:r>
    </w:p>
    <w:p>
      <w:pPr>
        <w:pStyle w:val="Heading2"/>
      </w:pPr>
      <w:bookmarkStart w:id="526" w:name="_Toc526"/>
      <w:r>
        <w:t>Wijze van beoordelen</w:t>
      </w:r>
      <w:bookmarkEnd w:id="526"/>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527" w:name="_Toc527"/>
      <w:r>
        <w:t>Bijbehorende contractbepaling</w:t>
      </w:r>
      <w:bookmarkEnd w:id="527"/>
    </w:p>
    <w:p>
      <w:pPr/>
      <w:r>
        <w:rPr/>
        <w:t xml:space="preserve">-</w:t>
      </w:r>
    </w:p>
    <w:p>
      <w:pPr>
        <w:pStyle w:val="Heading2"/>
      </w:pPr>
      <w:bookmarkStart w:id="528" w:name="_Toc528"/>
      <w:r>
        <w:t>Toelichting voor inkopende organisatie</w:t>
      </w:r>
      <w:bookmarkEnd w:id="528"/>
    </w:p>
    <w:p>
      <w:pPr/>
      <w:r>
        <w:rPr/>
        <w:t xml:space="preserve">-</w:t>
      </w:r>
    </w:p>
    <w:p>
      <w:pPr>
        <w:pStyle w:val="Heading2"/>
      </w:pPr>
      <w:bookmarkStart w:id="529" w:name="_Toc529"/>
      <w:r>
        <w:t>External links</w:t>
      </w:r>
      <w:bookmarkEnd w:id="529"/>
    </w:p>
    <w:p>
      <w:pPr>
        <w:pStyle w:val="Heading2"/>
      </w:pPr>
      <w:bookmarkStart w:id="530" w:name="_Toc530"/>
      <w:r>
        <w:t>Bron</w:t>
      </w:r>
      <w:bookmarkEnd w:id="530"/>
    </w:p>
    <w:p>
      <w:pPr>
        <w:numPr>
          <w:ilvl w:val="0"/>
          <w:numId w:val="3"/>
        </w:numPr>
      </w:pPr>
      <w:r>
        <w:rPr/>
        <w:t xml:space="preserve">UMC Utrecht</w:t>
      </w:r>
    </w:p>
    <w:p/>
    <w:p>
      <w:pPr>
        <w:pStyle w:val="Heading1"/>
      </w:pPr>
      <w:bookmarkStart w:id="531" w:name="_Toc531"/>
      <w:r>
        <w:t>9.7 Bijdrage aan circulariteitsdoelen</w:t>
      </w:r>
      <w:bookmarkEnd w:id="531"/>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532" w:name="_Toc532"/>
      <w:r>
        <w:t>Thema's</w:t>
      </w:r>
      <w:bookmarkEnd w:id="532"/>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33" w:name="_Toc533"/>
      <w:r>
        <w:t>Tekst</w:t>
      </w:r>
      <w:bookmarkEnd w:id="533"/>
    </w:p>
    <w:p>
      <w:pPr/>
      <w:r>
        <w:rPr/>
        <w:t xml:space="preserve">Inschrijver geeft aan hoe hij tijdens de contractperiode bijdraagt aan de circulaire economie en hoe hij de uitputting van primaire grondstoffen (olie, gas, steen, etc.) voorkomt, dit moet in lijn zijn met de doelen uit de Green Deal Duurzame Zorg. Inschrijver en Opdrachtgever bepalen voor het product een circulariteitsdoel, waarna Inschrijver concreet aangeeft welke maatregelen hij neemt om dit doel te behalen en welk resultaat hij verwacht.</w:t>
      </w:r>
    </w:p>
    <w:p>
      <w:pPr>
        <w:pStyle w:val="Heading2"/>
      </w:pPr>
      <w:bookmarkStart w:id="534" w:name="_Toc534"/>
      <w:r>
        <w:t>Mogelijke bewijsmiddelen</w:t>
      </w:r>
      <w:bookmarkEnd w:id="534"/>
    </w:p>
    <w:p>
      <w:pPr/>
      <w:r>
        <w:rPr/>
        <w:t xml:space="preserve">-</w:t>
      </w:r>
    </w:p>
    <w:p>
      <w:pPr>
        <w:pStyle w:val="Heading2"/>
      </w:pPr>
      <w:bookmarkStart w:id="535" w:name="_Toc535"/>
      <w:r>
        <w:t>Wijze van beoordelen</w:t>
      </w:r>
      <w:bookmarkEnd w:id="535"/>
    </w:p>
    <w:p>
      <w:pPr/>
      <w:r>
        <w:rPr/>
        <w:t xml:space="preserve">Beoordeling op de mate waarin de inschrijver:-&amp;nbsp;&amp;nbsp;&amp;nbsp;&amp;nbsp;Duidelijk en concreet inzicht geeft in zijn maatregelen-&amp;nbsp;&amp;nbsp;&amp;nbsp;&amp;nbsp;Met een onderbouwing aannemelijk maakt dat het haalbaar is dat de maatregelen uitgevoerd worden; en-&amp;nbsp;&amp;nbsp;&amp;nbsp;&amp;nbsp;Met een onderbouwing aannemelijk maakt dat de maatregelen bijdragen aan het doel.</w:t>
      </w:r>
    </w:p>
    <w:p>
      <w:pPr>
        <w:pStyle w:val="Heading2"/>
      </w:pPr>
      <w:bookmarkStart w:id="536" w:name="_Toc536"/>
      <w:r>
        <w:t>Bijbehorende contractbepaling</w:t>
      </w:r>
      <w:bookmarkEnd w:id="536"/>
    </w:p>
    <w:p>
      <w:pPr/>
      <w:r>
        <w:rPr/>
        <w:t xml:space="preserve">Voor de categorie [invullen gebruiksmiddel] is dit vertaald naar de volgende ambitie:</w:t>
      </w:r>
    </w:p>
    <w:p>
      <w:pPr>
        <w:pStyle w:val="Heading2"/>
      </w:pPr>
      <w:bookmarkStart w:id="537" w:name="_Toc537"/>
      <w:r>
        <w:t>Toelichting voor inkopende organisatie</w:t>
      </w:r>
      <w:bookmarkEnd w:id="537"/>
    </w:p>
    <w:p>
      <w:pPr/>
      <w:r>
        <w:rPr/>
        <w:t xml:space="preserve">Let op: alleen van toepassing bij een meerjarige contractrelatie. Inkopende organisatie kan ervoor kiezen de volgende tekst over te nemen. Zelf invullen: [tekst tussen haken].&amp;nbsp;[Zorgorganisatie] draagt bij aan de circulaire economie door uitputting van (kostbare) primaire grondstoffen te voorkomen conform de doelen uit de Green Deal Duurzame zorg. Voor de categorie [invullen product] is dit vertaald naar de volgende ambities: [voeg toe] Inschrijver dient aan te geven hoe zij hier gedurende de contractperiode concreet aan gaat bijdragen, op welke wijze (welke maatregelen) en met welk (verwacht) resultaat?</w:t>
      </w:r>
    </w:p>
    <w:p>
      <w:pPr>
        <w:pStyle w:val="Heading2"/>
      </w:pPr>
      <w:bookmarkStart w:id="538" w:name="_Toc538"/>
      <w:r>
        <w:t>External links</w:t>
      </w:r>
      <w:bookmarkEnd w:id="538"/>
    </w:p>
    <w:p>
      <w:pPr>
        <w:pStyle w:val="Heading2"/>
      </w:pPr>
      <w:bookmarkStart w:id="539" w:name="_Toc539"/>
      <w:r>
        <w:t>Bron</w:t>
      </w:r>
      <w:bookmarkEnd w:id="539"/>
    </w:p>
    <w:p>
      <w:pPr>
        <w:numPr>
          <w:ilvl w:val="0"/>
          <w:numId w:val="3"/>
        </w:numPr>
      </w:pPr>
      <w:r>
        <w:rPr/>
        <w:t xml:space="preserve">UMC Utrecht</w:t>
      </w:r>
    </w:p>
    <w:p/>
    <w:p>
      <w:pPr>
        <w:pStyle w:val="Heading1"/>
      </w:pPr>
      <w:bookmarkStart w:id="540" w:name="_Toc540"/>
      <w:r>
        <w:t>9.8 Retourname producten</w:t>
      </w:r>
      <w:bookmarkEnd w:id="540"/>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541" w:name="_Toc541"/>
      <w:r>
        <w:t>Thema's</w:t>
      </w:r>
      <w:bookmarkEnd w:id="541"/>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42" w:name="_Toc542"/>
      <w:r>
        <w:t>Tekst</w:t>
      </w:r>
      <w:bookmarkEnd w:id="542"/>
    </w:p>
    <w:p>
      <w:pPr/>
      <w:r>
        <w:rPr/>
        <w:t xml:space="preserve">Inschrijver geeft aan wat er met apparatuur gebeurt die het einde van de levensduur hebben bereikt.
-	Op productniveau: worden de producten gerefurbished of doorverkocht?
-	Op materiaalniveau: worden de materialen gerecycled of hergebruikt in nieuwe producten?</w:t>
      </w:r>
    </w:p>
    <w:p>
      <w:pPr>
        <w:pStyle w:val="Heading2"/>
      </w:pPr>
      <w:bookmarkStart w:id="543" w:name="_Toc543"/>
      <w:r>
        <w:t>Mogelijke bewijsmiddelen</w:t>
      </w:r>
      <w:bookmarkEnd w:id="543"/>
    </w:p>
    <w:p>
      <w:pPr/>
      <w:r>
        <w:rPr/>
        <w:t xml:space="preserve">-</w:t>
      </w:r>
    </w:p>
    <w:p>
      <w:pPr>
        <w:pStyle w:val="Heading2"/>
      </w:pPr>
      <w:bookmarkStart w:id="544" w:name="_Toc544"/>
      <w:r>
        <w:t>Wijze van beoordelen</w:t>
      </w:r>
      <w:bookmarkEnd w:id="544"/>
    </w:p>
    <w:p>
      <w:pPr/>
      <w:r>
        <w:rPr/>
        <w:t xml:space="preserve">Dit deel van de inschrijving wordt hoger gewaardeerd wanneer:
- Inschrijver een hoog percentage van het product recyclet
- De producten op een hoogwaardige manier worden hergebruikt</w:t>
      </w:r>
    </w:p>
    <w:p>
      <w:pPr>
        <w:pStyle w:val="Heading2"/>
      </w:pPr>
      <w:bookmarkStart w:id="545" w:name="_Toc545"/>
      <w:r>
        <w:t>Bijbehorende contractbepaling</w:t>
      </w:r>
      <w:bookmarkEnd w:id="545"/>
    </w:p>
    <w:p>
      <w:pPr/>
      <w:r>
        <w:rPr/>
        <w:t xml:space="preserve">-</w:t>
      </w:r>
    </w:p>
    <w:p>
      <w:pPr>
        <w:pStyle w:val="Heading2"/>
      </w:pPr>
      <w:bookmarkStart w:id="546" w:name="_Toc546"/>
      <w:r>
        <w:t>Toelichting voor inkopende organisatie</w:t>
      </w:r>
      <w:bookmarkEnd w:id="546"/>
    </w:p>
    <w:p>
      <w:pPr/>
      <w:r>
        <w:rPr/>
        <w:t xml:space="preserve">Let op: neem dit criterium alleen op wanneer het innemen van producten aan het einde van de levensduur onderdeel uitmaakt van de aanvraag.
Om te beoordelen of de toepassing van ingenomen product hoogwaardig of laagwaardig is, wordt de R-ladder gebruikt: 0 Refuse, 1 Rethink, 2 Reduce, 3 Reuse, 4 Repair, 5 Refurbish en Remanufacture, 6 Repurpose, 7 Recycle, 8 Recover.
Stap 0 is de hoogste trede van de ladder, stap 8 de laagste. Hoe hoger de trede, hoe hoogwaardiger en daarmee duurzamer de toepassing.</w:t>
      </w:r>
    </w:p>
    <w:p>
      <w:pPr>
        <w:pStyle w:val="Heading2"/>
      </w:pPr>
      <w:bookmarkStart w:id="547" w:name="_Toc547"/>
      <w:r>
        <w:t>External links</w:t>
      </w:r>
      <w:bookmarkEnd w:id="547"/>
    </w:p>
    <w:p>
      <w:pPr>
        <w:pStyle w:val="Heading2"/>
      </w:pPr>
      <w:bookmarkStart w:id="548" w:name="_Toc548"/>
      <w:r>
        <w:t>Bron</w:t>
      </w:r>
      <w:bookmarkEnd w:id="548"/>
    </w:p>
    <w:p>
      <w:pPr>
        <w:numPr>
          <w:ilvl w:val="0"/>
          <w:numId w:val="3"/>
        </w:numPr>
      </w:pPr>
      <w:r>
        <w:rPr/>
        <w:t xml:space="preserve">MVI criteria tool</w:t>
      </w:r>
    </w:p>
    <w:p/>
    <w:p>
      <w:pPr>
        <w:pStyle w:val="Heading1"/>
      </w:pPr>
      <w:bookmarkStart w:id="549" w:name="_Toc549"/>
      <w:r>
        <w:t>9.9 Duidelijke instructies over reparatiemogelijkheden</w:t>
      </w:r>
      <w:bookmarkEnd w:id="549"/>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550" w:name="_Toc550"/>
      <w:r>
        <w:t>Thema's</w:t>
      </w:r>
      <w:bookmarkEnd w:id="550"/>
    </w:p>
    <w:p>
      <w:pPr/>
      <w:r>
        <w:pict>
          <v:shape type="#_x0000_t75" stroked="f" style="width:46.73684210526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551" w:name="_Toc551"/>
      <w:r>
        <w:t>Tekst</w:t>
      </w:r>
      <w:bookmarkEnd w:id="551"/>
    </w:p>
    <w:p>
      <w:pPr/>
      <w:r>
        <w:rPr/>
        <w:t xml:space="preserve">Inschrijver levert instructies over de reparatiemogelijkheden wanneer het product een veelvoorkomend defect vertoont, ongeacht of het defect binnen of buiten de garantie valt. Deze instructies zijn overzichtelijk opgesteld: per defect wordt in detail uitgelegd welke handelingen de inkopende organisatie moet uitvoeren.
Instructies worden na het afsluiten van het contract geleverd en binnen één maand besproken (dit laatste alleen wanneer Opdrachtgever dit wenst). Dit gesprek vindt plaats tussen Opdrachtgever en Inschrijver. Inschrijver kan ook een gesprek tussen Opdrachtgever en een deskundige derde partij faciliteren, bijvoorbeeld met de merkeigenaar van het product.
Indien product wordt vervangen door een refurbished exemplaar, vervalt de eis om instructies aan te leveren. Hiervoor dient de inschrijver wel vooraf toestemming te krijgen van Opdrachtgever.</w:t>
      </w:r>
    </w:p>
    <w:p>
      <w:pPr>
        <w:pStyle w:val="Heading2"/>
      </w:pPr>
      <w:bookmarkStart w:id="552" w:name="_Toc552"/>
      <w:r>
        <w:t>Mogelijke bewijsmiddelen</w:t>
      </w:r>
      <w:bookmarkEnd w:id="552"/>
    </w:p>
    <w:p>
      <w:pPr/>
      <w:r>
        <w:rPr/>
        <w:t xml:space="preserve">-</w:t>
      </w:r>
    </w:p>
    <w:p>
      <w:pPr>
        <w:pStyle w:val="Heading2"/>
      </w:pPr>
      <w:bookmarkStart w:id="553" w:name="_Toc553"/>
      <w:r>
        <w:t>Wijze van beoordelen</w:t>
      </w:r>
      <w:bookmarkEnd w:id="553"/>
    </w:p>
    <w:p>
      <w:pPr/>
      <w:r>
        <w:rPr/>
        <w:t xml:space="preserve">-</w:t>
      </w:r>
    </w:p>
    <w:p>
      <w:pPr>
        <w:pStyle w:val="Heading2"/>
      </w:pPr>
      <w:bookmarkStart w:id="554" w:name="_Toc554"/>
      <w:r>
        <w:t>Bijbehorende contractbepaling</w:t>
      </w:r>
      <w:bookmarkEnd w:id="554"/>
    </w:p>
    <w:p>
      <w:pPr/>
      <w:r>
        <w:rPr/>
        <w:t xml:space="preserve">[voeg toe]</w:t>
      </w:r>
    </w:p>
    <w:p>
      <w:pPr>
        <w:pStyle w:val="Heading2"/>
      </w:pPr>
      <w:bookmarkStart w:id="555" w:name="_Toc555"/>
      <w:r>
        <w:t>Toelichting voor inkopende organisatie</w:t>
      </w:r>
      <w:bookmarkEnd w:id="555"/>
    </w:p>
    <w:p>
      <w:pPr/>
      <w:r>
        <w:rPr/>
        <w:t xml:space="preserve">Bespreek tijdens een marktconsultatie de mogelijkheden voor aanvullende diensten, denk hierbij bijvoorbeeld aan:
- Het ophalen van defecte producten op locatie.
- Het langer bewaren van reserveonderdelen die nodig zijn voor toekomstige reparaties.</w:t>
      </w:r>
    </w:p>
    <w:p>
      <w:pPr>
        <w:pStyle w:val="Heading2"/>
      </w:pPr>
      <w:bookmarkStart w:id="556" w:name="_Toc556"/>
      <w:r>
        <w:t>External links</w:t>
      </w:r>
      <w:bookmarkEnd w:id="556"/>
    </w:p>
    <w:p>
      <w:pPr>
        <w:pStyle w:val="Heading2"/>
      </w:pPr>
      <w:bookmarkStart w:id="557" w:name="_Toc557"/>
      <w:r>
        <w:t>Bron</w:t>
      </w:r>
      <w:bookmarkEnd w:id="557"/>
    </w:p>
    <w:p>
      <w:pPr>
        <w:numPr>
          <w:ilvl w:val="0"/>
          <w:numId w:val="3"/>
        </w:numPr>
      </w:pPr>
      <w:r>
        <w:rPr/>
        <w:t xml:space="preserve">MVI criteria tool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3CE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32"/>
      <w:szCs w:val="32"/>
      <w:b w:val="1"/>
      <w:bCs w:val="1"/>
    </w:rPr>
  </w:style>
  <w:style w:type="paragraph" w:styleId="Heading2">
    <w:link w:val="Heading2Char"/>
    <w:name w:val="heading 2"/>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recyclass.eu/protocols-guidelines/design-for-recycling-guidelines/" TargetMode="External"/><Relationship Id="rId9" Type="http://schemas.openxmlformats.org/officeDocument/2006/relationships/image" Target="media/section_image2.png"/><Relationship Id="rId10" Type="http://schemas.openxmlformats.org/officeDocument/2006/relationships/hyperlink" Target="https://www.degroenez.org/productgroepen/spuit-zonder-naald" TargetMode="External"/><Relationship Id="rId11" Type="http://schemas.openxmlformats.org/officeDocument/2006/relationships/hyperlink" Target="https://www.degroenez.org/productgroepen/zuurstofsensor/wegwerp#section-sustainable-use" TargetMode="External"/><Relationship Id="rId12" Type="http://schemas.openxmlformats.org/officeDocument/2006/relationships/hyperlink" Target="https://www.degroenez.org/productgroepen/babyfles" TargetMode="External"/><Relationship Id="rId13" Type="http://schemas.openxmlformats.org/officeDocument/2006/relationships/hyperlink" Target="https://www.nen.nl/nen-en-iso-14021-2001-en-61462" TargetMode="External"/><Relationship Id="rId14" Type="http://schemas.openxmlformats.org/officeDocument/2006/relationships/hyperlink" Target="https://www.nen.nl/iso-dis-22095-2019-en-7183979" TargetMode="External"/><Relationship Id="rId15" Type="http://schemas.openxmlformats.org/officeDocument/2006/relationships/hyperlink" Target="https://www.degroenez.org/productgroepen/isolatiejas-lange-mouw/wegwerp#section-sustainable-use" TargetMode="External"/><Relationship Id="rId16" Type="http://schemas.openxmlformats.org/officeDocument/2006/relationships/hyperlink" Target="https://www.degroenez.org/productgroepen/infuus-toedieningssysteem/herbruikbaar#section-sustainable-use" TargetMode="External"/><Relationship Id="rId17" Type="http://schemas.openxmlformats.org/officeDocument/2006/relationships/hyperlink" Target="https://www.degroenez.org/productgroepen/naaldencontainer/wegwerp#section-sustainable-use" TargetMode="External"/><Relationship Id="rId18" Type="http://schemas.openxmlformats.org/officeDocument/2006/relationships/hyperlink" Target="https://www.degroenez.org/productgroepen/incontinentiebroek/wegwerp#section-sustainable-use" TargetMode="External"/><Relationship Id="rId19" Type="http://schemas.openxmlformats.org/officeDocument/2006/relationships/image" Target="media/section_image3.png"/><Relationship Id="rId20" Type="http://schemas.openxmlformats.org/officeDocument/2006/relationships/hyperlink" Target="https://kidv.nl/eu-richtlijn-verpakken-94-62-eg" TargetMode="External"/><Relationship Id="rId21" Type="http://schemas.openxmlformats.org/officeDocument/2006/relationships/hyperlink" Target="https://www.nen.nl/nen-en-iso-15223-1-2021-en-287911" TargetMode="External"/><Relationship Id="rId22" Type="http://schemas.openxmlformats.org/officeDocument/2006/relationships/hyperlink" Target="https://www.nen.nl/nen-en-iso-21420-2020-en-269080" TargetMode="External"/><Relationship Id="rId23" Type="http://schemas.openxmlformats.org/officeDocument/2006/relationships/hyperlink" Target="https://www.nen.nl/nen-en-iso-iec-17029-2019-en-265737" TargetMode="External"/><Relationship Id="rId24" Type="http://schemas.openxmlformats.org/officeDocument/2006/relationships/hyperlink" Target="https://connect.nen.nl/standard/Detail/105245?compId=0&amp;collectionId=0" TargetMode="External"/><Relationship Id="rId25" Type="http://schemas.openxmlformats.org/officeDocument/2006/relationships/hyperlink" Target="https://www.degroenez.org/productgroepen/handschoen-niet-steriel" TargetMode="External"/><Relationship Id="rId26" Type="http://schemas.openxmlformats.org/officeDocument/2006/relationships/hyperlink" Target="https://www.nen.nl/nen-en-iso-14040-2006-en-109085" TargetMode="External"/><Relationship Id="rId27" Type="http://schemas.openxmlformats.org/officeDocument/2006/relationships/hyperlink" Target="https://www.nen.nl/nen-en-iso-14044-2006-en-109086" TargetMode="External"/><Relationship Id="rId28" Type="http://schemas.openxmlformats.org/officeDocument/2006/relationships/hyperlink" Target="https://www.nen.nl/nen-en-iso-14067-2018-en-251144" TargetMode="External"/><Relationship Id="rId29" Type="http://schemas.openxmlformats.org/officeDocument/2006/relationships/hyperlink" Target="https://www.degroenez.org/productgroepen/steriele-ok-jas/wegwerp#section-sustainable-use" TargetMode="External"/><Relationship Id="rId30" Type="http://schemas.openxmlformats.org/officeDocument/2006/relationships/hyperlink" Target="https://www.degroenez.org/productgroepen/steriele-ok-jas/herbruikbaar#section-sustainable-use/" TargetMode="External"/><Relationship Id="rId31" Type="http://schemas.openxmlformats.org/officeDocument/2006/relationships/hyperlink" Target="https://www.degroenez.org/productgroepen/isolatie-overall/wegwerp#section-sustainable-use" TargetMode="External"/><Relationship Id="rId32" Type="http://schemas.openxmlformats.org/officeDocument/2006/relationships/image" Target="media/section_image4.jpg"/><Relationship Id="rId33" Type="http://schemas.openxmlformats.org/officeDocument/2006/relationships/hyperlink" Target="https://www.nen.nl/nen-en-iso-14025-2010-en-147505" TargetMode="External"/><Relationship Id="rId34" Type="http://schemas.openxmlformats.org/officeDocument/2006/relationships/hyperlink" Target="https://www.nen.nl/milieu/milieumanagement" TargetMode="External"/><Relationship Id="rId35" Type="http://schemas.openxmlformats.org/officeDocument/2006/relationships/hyperlink" Target="https://www.co2-prestatieladder.nl/" TargetMode="External"/><Relationship Id="rId36" Type="http://schemas.openxmlformats.org/officeDocument/2006/relationships/hyperlink" Target="https://www.mvo-register.nl/" TargetMode="External"/><Relationship Id="rId37" Type="http://schemas.openxmlformats.org/officeDocument/2006/relationships/hyperlink" Target="https://ecovadis.com/nl/suppliers/" TargetMode="External"/><Relationship Id="rId38" Type="http://schemas.openxmlformats.org/officeDocument/2006/relationships/hyperlink" Target="https://support.ecovadis.com/hc/en-us/articles/210460227-Understanding-EcoVadis-Medals-and-Badges#:~:text=The%20EcoVadis%20score%20(0%2D100,the%20time%20of%20the%20assessment." TargetMode="External"/><Relationship Id="rId39" Type="http://schemas.openxmlformats.org/officeDocument/2006/relationships/image" Target="media/section_image5.jpg"/><Relationship Id="rId40" Type="http://schemas.openxmlformats.org/officeDocument/2006/relationships/image" Target="media/section_image6.png"/><Relationship Id="rId41" Type="http://schemas.openxmlformats.org/officeDocument/2006/relationships/image" Target="media/section_image7.png"/><Relationship Id="rId42" Type="http://schemas.openxmlformats.org/officeDocument/2006/relationships/hyperlink" Target="https://mvorisicochecker.nl/" TargetMode="External"/><Relationship Id="rId43" Type="http://schemas.openxmlformats.org/officeDocument/2006/relationships/hyperlink" Target="https://www.pianoo.nl/nl/themas/maatschappelijk-verantwoord-inkopen/ketenverantwoordelijkheid/over-2" TargetMode="External"/><Relationship Id="rId44" Type="http://schemas.openxmlformats.org/officeDocument/2006/relationships/hyperlink" Target="https://www.nen.nl/en/nen-en-50625-1-2014-en-193413" TargetMode="External"/><Relationship Id="rId45" Type="http://schemas.openxmlformats.org/officeDocument/2006/relationships/hyperlink" Target="https://www.nen.nl/nen-en-50614-2020-en-268044" TargetMode="External"/><Relationship Id="rId46" Type="http://schemas.openxmlformats.org/officeDocument/2006/relationships/hyperlink" Target="https://afvalcirculair.nl/uitgebreide-producentenverantwoordelijkheid-upv/overzicht-upv/upv-elektr-on-ische-apparaten/virtuele-map/handreikin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2026-04-17T10:25:02+02:00</dcterms:created>
  <dcterms:modified xsi:type="dcterms:W3CDTF">2026-04-17T10:25:02+02:00</dcterms:modified>
</cp:coreProperties>
</file>

<file path=docProps/custom.xml><?xml version="1.0" encoding="utf-8"?>
<Properties xmlns="http://schemas.openxmlformats.org/officeDocument/2006/custom-properties" xmlns:vt="http://schemas.openxmlformats.org/officeDocument/2006/docPropsVTypes"/>
</file>